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0F781" w14:textId="77777777" w:rsidR="00690B31" w:rsidRDefault="00690B31" w:rsidP="7383CA9C">
      <w:pPr>
        <w:spacing w:after="51" w:line="259" w:lineRule="auto"/>
        <w:jc w:val="center"/>
        <w:rPr>
          <w:rFonts w:ascii="Arial" w:eastAsia="Arial" w:hAnsi="Arial" w:cs="Arial"/>
          <w:b/>
          <w:bCs/>
          <w:sz w:val="32"/>
          <w:szCs w:val="32"/>
        </w:rPr>
      </w:pPr>
    </w:p>
    <w:p w14:paraId="58503802" w14:textId="54E32D15" w:rsidR="00707DD2" w:rsidRPr="00707DD2" w:rsidRDefault="2CB6663B" w:rsidP="7383CA9C">
      <w:pPr>
        <w:spacing w:after="51" w:line="259" w:lineRule="auto"/>
        <w:jc w:val="center"/>
        <w:rPr>
          <w:rFonts w:ascii="Arial" w:eastAsia="Arial" w:hAnsi="Arial" w:cs="Arial"/>
          <w:sz w:val="32"/>
          <w:szCs w:val="32"/>
        </w:rPr>
      </w:pPr>
      <w:r w:rsidRPr="7383CA9C">
        <w:rPr>
          <w:rFonts w:ascii="Arial" w:eastAsia="Arial" w:hAnsi="Arial" w:cs="Arial"/>
          <w:b/>
          <w:bCs/>
          <w:sz w:val="32"/>
          <w:szCs w:val="32"/>
        </w:rPr>
        <w:t>Career Pathways Definition</w:t>
      </w:r>
      <w:r w:rsidRPr="7383CA9C">
        <w:rPr>
          <w:rFonts w:ascii="Arial" w:eastAsia="Arial" w:hAnsi="Arial" w:cs="Arial"/>
          <w:sz w:val="32"/>
          <w:szCs w:val="32"/>
        </w:rPr>
        <w:t xml:space="preserve"> </w:t>
      </w:r>
    </w:p>
    <w:p w14:paraId="3C511A21" w14:textId="2A93EB1E" w:rsidR="00707DD2" w:rsidRPr="00707DD2" w:rsidRDefault="00707DD2" w:rsidP="7383CA9C">
      <w:pPr>
        <w:spacing w:after="51" w:line="249" w:lineRule="auto"/>
        <w:ind w:left="-5" w:right="37"/>
        <w:jc w:val="both"/>
        <w:rPr>
          <w:rFonts w:ascii="Arial" w:eastAsia="Arial" w:hAnsi="Arial" w:cs="Arial"/>
        </w:rPr>
      </w:pPr>
    </w:p>
    <w:p w14:paraId="22618605" w14:textId="7438EDE0" w:rsidR="00707DD2" w:rsidRPr="00707DD2" w:rsidRDefault="00707DD2" w:rsidP="30615883">
      <w:pPr>
        <w:spacing w:after="51" w:line="249" w:lineRule="auto"/>
        <w:ind w:left="-5" w:right="37"/>
        <w:jc w:val="both"/>
        <w:rPr>
          <w:rFonts w:ascii="Arial" w:eastAsia="Arial" w:hAnsi="Arial" w:cs="Arial"/>
          <w:b/>
          <w:bCs/>
        </w:rPr>
      </w:pPr>
      <w:r w:rsidRPr="7383CA9C">
        <w:rPr>
          <w:rFonts w:ascii="Arial" w:eastAsia="Arial" w:hAnsi="Arial" w:cs="Arial"/>
        </w:rPr>
        <w:t xml:space="preserve">A career pathway means a combination of rigorous and high-quality education, training, and other services that align both vertically and horizontally across Secondary Education, Adult Education, Workforce Training and Development, Career and Technical Education, and Postsecondary Education systems, pathways, and programs. Collaborative partnerships with these entities, businesses, and industry, along with human service agencies, corrections, and other community stakeholders, serve as the foundational structure for high-quality and sustainable career pathways. A career pathway also includes multiple entry and </w:t>
      </w:r>
      <w:proofErr w:type="gramStart"/>
      <w:r w:rsidRPr="7383CA9C">
        <w:rPr>
          <w:rFonts w:ascii="Arial" w:eastAsia="Arial" w:hAnsi="Arial" w:cs="Arial"/>
        </w:rPr>
        <w:t>exit</w:t>
      </w:r>
      <w:proofErr w:type="gramEnd"/>
      <w:r w:rsidRPr="7383CA9C">
        <w:rPr>
          <w:rFonts w:ascii="Arial" w:eastAsia="Arial" w:hAnsi="Arial" w:cs="Arial"/>
        </w:rPr>
        <w:t xml:space="preserve"> points to facilitate individuals to build their skills as they progress along a continuum of education, training, and advance in sector-specific employment. </w:t>
      </w:r>
    </w:p>
    <w:p w14:paraId="125F44D0" w14:textId="77777777" w:rsidR="00707DD2" w:rsidRPr="00707DD2" w:rsidRDefault="00707DD2" w:rsidP="30615883">
      <w:pPr>
        <w:spacing w:after="101" w:line="259" w:lineRule="auto"/>
        <w:rPr>
          <w:rFonts w:ascii="Arial" w:eastAsia="Arial" w:hAnsi="Arial" w:cs="Arial"/>
        </w:rPr>
      </w:pPr>
      <w:r w:rsidRPr="00707DD2">
        <w:rPr>
          <w:rFonts w:asciiTheme="minorHAnsi" w:hAnsiTheme="minorHAnsi" w:cstheme="minorHAnsi"/>
          <w:noProof/>
        </w:rPr>
        <mc:AlternateContent>
          <mc:Choice Requires="wpg">
            <w:drawing>
              <wp:inline distT="0" distB="0" distL="0" distR="0" wp14:anchorId="46AE7305" wp14:editId="2D7F59EA">
                <wp:extent cx="5944870" cy="19939"/>
                <wp:effectExtent l="0" t="0" r="0" b="0"/>
                <wp:docPr id="1" name="Group 1"/>
                <wp:cNvGraphicFramePr/>
                <a:graphic xmlns:a="http://schemas.openxmlformats.org/drawingml/2006/main">
                  <a:graphicData uri="http://schemas.microsoft.com/office/word/2010/wordprocessingGroup">
                    <wpg:wgp>
                      <wpg:cNvGrpSpPr/>
                      <wpg:grpSpPr>
                        <a:xfrm>
                          <a:off x="0" y="0"/>
                          <a:ext cx="5944870" cy="19939"/>
                          <a:chOff x="2373565" y="3770031"/>
                          <a:chExt cx="5944870" cy="19939"/>
                        </a:xfrm>
                      </wpg:grpSpPr>
                      <wpg:grpSp>
                        <wpg:cNvPr id="13" name="Group 13"/>
                        <wpg:cNvGrpSpPr/>
                        <wpg:grpSpPr>
                          <a:xfrm>
                            <a:off x="2373565" y="3770031"/>
                            <a:ext cx="5944870" cy="19939"/>
                            <a:chOff x="2373565" y="3770031"/>
                            <a:chExt cx="5944870" cy="19939"/>
                          </a:xfrm>
                        </wpg:grpSpPr>
                        <wps:wsp>
                          <wps:cNvPr id="14" name="Rectangle 14"/>
                          <wps:cNvSpPr/>
                          <wps:spPr>
                            <a:xfrm>
                              <a:off x="2373565" y="3770031"/>
                              <a:ext cx="5944850" cy="19925"/>
                            </a:xfrm>
                            <a:prstGeom prst="rect">
                              <a:avLst/>
                            </a:prstGeom>
                            <a:noFill/>
                            <a:ln>
                              <a:noFill/>
                            </a:ln>
                          </wps:spPr>
                          <wps:txbx>
                            <w:txbxContent>
                              <w:p w14:paraId="56A365D4" w14:textId="77777777" w:rsidR="00707DD2" w:rsidRDefault="00707DD2" w:rsidP="00707DD2">
                                <w:pPr>
                                  <w:spacing w:line="240" w:lineRule="auto"/>
                                  <w:textDirection w:val="btLr"/>
                                </w:pPr>
                              </w:p>
                            </w:txbxContent>
                          </wps:txbx>
                          <wps:bodyPr spcFirstLastPara="1" wrap="square" lIns="91425" tIns="91425" rIns="91425" bIns="91425" anchor="ctr" anchorCtr="0">
                            <a:noAutofit/>
                          </wps:bodyPr>
                        </wps:wsp>
                        <wpg:grpSp>
                          <wpg:cNvPr id="15" name="Group 15"/>
                          <wpg:cNvGrpSpPr/>
                          <wpg:grpSpPr>
                            <a:xfrm>
                              <a:off x="2373565" y="3770031"/>
                              <a:ext cx="5944870" cy="19939"/>
                              <a:chOff x="2373565" y="3770031"/>
                              <a:chExt cx="5944870" cy="19939"/>
                            </a:xfrm>
                          </wpg:grpSpPr>
                          <wps:wsp>
                            <wps:cNvPr id="16" name="Rectangle 16"/>
                            <wps:cNvSpPr/>
                            <wps:spPr>
                              <a:xfrm>
                                <a:off x="2373565" y="3770031"/>
                                <a:ext cx="5944850" cy="19925"/>
                              </a:xfrm>
                              <a:prstGeom prst="rect">
                                <a:avLst/>
                              </a:prstGeom>
                              <a:noFill/>
                              <a:ln>
                                <a:noFill/>
                              </a:ln>
                            </wps:spPr>
                            <wps:txbx>
                              <w:txbxContent>
                                <w:p w14:paraId="1CF75321" w14:textId="77777777" w:rsidR="00707DD2" w:rsidRDefault="00707DD2" w:rsidP="00707DD2">
                                  <w:pPr>
                                    <w:spacing w:line="240" w:lineRule="auto"/>
                                    <w:ind w:hanging="10"/>
                                    <w:textDirection w:val="btLr"/>
                                  </w:pPr>
                                </w:p>
                              </w:txbxContent>
                            </wps:txbx>
                            <wps:bodyPr spcFirstLastPara="1" wrap="square" lIns="91425" tIns="91425" rIns="91425" bIns="91425" anchor="ctr" anchorCtr="0">
                              <a:noAutofit/>
                            </wps:bodyPr>
                          </wps:wsp>
                          <wpg:grpSp>
                            <wpg:cNvPr id="17" name="Group 17"/>
                            <wpg:cNvGrpSpPr/>
                            <wpg:grpSpPr>
                              <a:xfrm>
                                <a:off x="2373565" y="3770031"/>
                                <a:ext cx="5944870" cy="19939"/>
                                <a:chOff x="2373565" y="3770031"/>
                                <a:chExt cx="5950966" cy="26035"/>
                              </a:xfrm>
                            </wpg:grpSpPr>
                            <wps:wsp>
                              <wps:cNvPr id="18" name="Rectangle 18"/>
                              <wps:cNvSpPr/>
                              <wps:spPr>
                                <a:xfrm>
                                  <a:off x="2373565" y="3770031"/>
                                  <a:ext cx="5950950" cy="26025"/>
                                </a:xfrm>
                                <a:prstGeom prst="rect">
                                  <a:avLst/>
                                </a:prstGeom>
                                <a:noFill/>
                                <a:ln>
                                  <a:noFill/>
                                </a:ln>
                              </wps:spPr>
                              <wps:txbx>
                                <w:txbxContent>
                                  <w:p w14:paraId="54D867BE" w14:textId="77777777" w:rsidR="00707DD2" w:rsidRDefault="00707DD2" w:rsidP="00707DD2">
                                    <w:pPr>
                                      <w:spacing w:line="240" w:lineRule="auto"/>
                                      <w:ind w:hanging="10"/>
                                      <w:textDirection w:val="btLr"/>
                                    </w:pPr>
                                  </w:p>
                                </w:txbxContent>
                              </wps:txbx>
                              <wps:bodyPr spcFirstLastPara="1" wrap="square" lIns="91425" tIns="91425" rIns="91425" bIns="91425" anchor="ctr" anchorCtr="0">
                                <a:noAutofit/>
                              </wps:bodyPr>
                            </wps:wsp>
                            <wpg:grpSp>
                              <wpg:cNvPr id="19" name="Group 19"/>
                              <wpg:cNvGrpSpPr/>
                              <wpg:grpSpPr>
                                <a:xfrm>
                                  <a:off x="2373565" y="3770031"/>
                                  <a:ext cx="5950966" cy="26035"/>
                                  <a:chOff x="0" y="0"/>
                                  <a:chExt cx="5950966" cy="26035"/>
                                </a:xfrm>
                              </wpg:grpSpPr>
                              <wps:wsp>
                                <wps:cNvPr id="20" name="Rectangle 20"/>
                                <wps:cNvSpPr/>
                                <wps:spPr>
                                  <a:xfrm>
                                    <a:off x="0" y="0"/>
                                    <a:ext cx="5944850" cy="19925"/>
                                  </a:xfrm>
                                  <a:prstGeom prst="rect">
                                    <a:avLst/>
                                  </a:prstGeom>
                                  <a:noFill/>
                                  <a:ln>
                                    <a:noFill/>
                                  </a:ln>
                                </wps:spPr>
                                <wps:txbx>
                                  <w:txbxContent>
                                    <w:p w14:paraId="58C8FC81" w14:textId="77777777" w:rsidR="00707DD2" w:rsidRDefault="00707DD2" w:rsidP="00707DD2">
                                      <w:pPr>
                                        <w:spacing w:line="240" w:lineRule="auto"/>
                                        <w:ind w:hanging="10"/>
                                        <w:textDirection w:val="btLr"/>
                                      </w:pPr>
                                    </w:p>
                                  </w:txbxContent>
                                </wps:txbx>
                                <wps:bodyPr spcFirstLastPara="1" wrap="square" lIns="91425" tIns="91425" rIns="91425" bIns="91425" anchor="ctr" anchorCtr="0">
                                  <a:noAutofit/>
                                </wps:bodyPr>
                              </wps:wsp>
                              <wps:wsp>
                                <wps:cNvPr id="21" name="Freeform 21"/>
                                <wps:cNvSpPr/>
                                <wps:spPr>
                                  <a:xfrm>
                                    <a:off x="0" y="0"/>
                                    <a:ext cx="5943600" cy="19685"/>
                                  </a:xfrm>
                                  <a:custGeom>
                                    <a:avLst/>
                                    <a:gdLst/>
                                    <a:ahLst/>
                                    <a:cxnLst/>
                                    <a:rect l="l" t="t" r="r" b="b"/>
                                    <a:pathLst>
                                      <a:path w="5943600" h="19685" extrusionOk="0">
                                        <a:moveTo>
                                          <a:pt x="0" y="0"/>
                                        </a:moveTo>
                                        <a:lnTo>
                                          <a:pt x="5943600" y="0"/>
                                        </a:lnTo>
                                        <a:lnTo>
                                          <a:pt x="5943600" y="19685"/>
                                        </a:lnTo>
                                        <a:lnTo>
                                          <a:pt x="0" y="19685"/>
                                        </a:lnTo>
                                        <a:lnTo>
                                          <a:pt x="0" y="0"/>
                                        </a:lnTo>
                                      </a:path>
                                    </a:pathLst>
                                  </a:custGeom>
                                  <a:solidFill>
                                    <a:srgbClr val="A0A0A0"/>
                                  </a:solidFill>
                                  <a:ln>
                                    <a:noFill/>
                                  </a:ln>
                                </wps:spPr>
                                <wps:bodyPr spcFirstLastPara="1" wrap="square" lIns="91425" tIns="91425" rIns="91425" bIns="91425" anchor="ctr" anchorCtr="0">
                                  <a:noAutofit/>
                                </wps:bodyPr>
                              </wps:wsp>
                              <wps:wsp>
                                <wps:cNvPr id="22" name="Freeform 22"/>
                                <wps:cNvSpPr/>
                                <wps:spPr>
                                  <a:xfrm>
                                    <a:off x="305" y="127"/>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A0A0A0"/>
                                  </a:solidFill>
                                  <a:ln>
                                    <a:noFill/>
                                  </a:ln>
                                </wps:spPr>
                                <wps:bodyPr spcFirstLastPara="1" wrap="square" lIns="91425" tIns="91425" rIns="91425" bIns="91425" anchor="ctr" anchorCtr="0">
                                  <a:noAutofit/>
                                </wps:bodyPr>
                              </wps:wsp>
                              <wps:wsp>
                                <wps:cNvPr id="23" name="Freeform 23"/>
                                <wps:cNvSpPr/>
                                <wps:spPr>
                                  <a:xfrm>
                                    <a:off x="3353" y="127"/>
                                    <a:ext cx="5938393" cy="9144"/>
                                  </a:xfrm>
                                  <a:custGeom>
                                    <a:avLst/>
                                    <a:gdLst/>
                                    <a:ahLst/>
                                    <a:cxnLst/>
                                    <a:rect l="l" t="t" r="r" b="b"/>
                                    <a:pathLst>
                                      <a:path w="5938393" h="9144" extrusionOk="0">
                                        <a:moveTo>
                                          <a:pt x="0" y="0"/>
                                        </a:moveTo>
                                        <a:lnTo>
                                          <a:pt x="5938393" y="0"/>
                                        </a:lnTo>
                                        <a:lnTo>
                                          <a:pt x="5938393" y="9144"/>
                                        </a:lnTo>
                                        <a:lnTo>
                                          <a:pt x="0" y="9144"/>
                                        </a:lnTo>
                                        <a:lnTo>
                                          <a:pt x="0" y="0"/>
                                        </a:lnTo>
                                      </a:path>
                                    </a:pathLst>
                                  </a:custGeom>
                                  <a:solidFill>
                                    <a:srgbClr val="A0A0A0"/>
                                  </a:solidFill>
                                  <a:ln>
                                    <a:noFill/>
                                  </a:ln>
                                </wps:spPr>
                                <wps:bodyPr spcFirstLastPara="1" wrap="square" lIns="91425" tIns="91425" rIns="91425" bIns="91425" anchor="ctr" anchorCtr="0">
                                  <a:noAutofit/>
                                </wps:bodyPr>
                              </wps:wsp>
                              <wps:wsp>
                                <wps:cNvPr id="24" name="Freeform 24"/>
                                <wps:cNvSpPr/>
                                <wps:spPr>
                                  <a:xfrm>
                                    <a:off x="5941822" y="127"/>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A0A0A0"/>
                                  </a:solidFill>
                                  <a:ln>
                                    <a:noFill/>
                                  </a:ln>
                                </wps:spPr>
                                <wps:bodyPr spcFirstLastPara="1" wrap="square" lIns="91425" tIns="91425" rIns="91425" bIns="91425" anchor="ctr" anchorCtr="0">
                                  <a:noAutofit/>
                                </wps:bodyPr>
                              </wps:wsp>
                              <wps:wsp>
                                <wps:cNvPr id="25" name="Freeform 25"/>
                                <wps:cNvSpPr/>
                                <wps:spPr>
                                  <a:xfrm>
                                    <a:off x="305" y="3175"/>
                                    <a:ext cx="9144" cy="13716"/>
                                  </a:xfrm>
                                  <a:custGeom>
                                    <a:avLst/>
                                    <a:gdLst/>
                                    <a:ahLst/>
                                    <a:cxnLst/>
                                    <a:rect l="l" t="t" r="r" b="b"/>
                                    <a:pathLst>
                                      <a:path w="9144" h="13716" extrusionOk="0">
                                        <a:moveTo>
                                          <a:pt x="0" y="0"/>
                                        </a:moveTo>
                                        <a:lnTo>
                                          <a:pt x="9144" y="0"/>
                                        </a:lnTo>
                                        <a:lnTo>
                                          <a:pt x="9144" y="13716"/>
                                        </a:lnTo>
                                        <a:lnTo>
                                          <a:pt x="0" y="13716"/>
                                        </a:lnTo>
                                        <a:lnTo>
                                          <a:pt x="0" y="0"/>
                                        </a:lnTo>
                                      </a:path>
                                    </a:pathLst>
                                  </a:custGeom>
                                  <a:solidFill>
                                    <a:srgbClr val="A0A0A0"/>
                                  </a:solidFill>
                                  <a:ln>
                                    <a:noFill/>
                                  </a:ln>
                                </wps:spPr>
                                <wps:bodyPr spcFirstLastPara="1" wrap="square" lIns="91425" tIns="91425" rIns="91425" bIns="91425" anchor="ctr" anchorCtr="0">
                                  <a:noAutofit/>
                                </wps:bodyPr>
                              </wps:wsp>
                              <wps:wsp>
                                <wps:cNvPr id="26" name="Freeform 26"/>
                                <wps:cNvSpPr/>
                                <wps:spPr>
                                  <a:xfrm>
                                    <a:off x="5941822" y="3175"/>
                                    <a:ext cx="9144" cy="13716"/>
                                  </a:xfrm>
                                  <a:custGeom>
                                    <a:avLst/>
                                    <a:gdLst/>
                                    <a:ahLst/>
                                    <a:cxnLst/>
                                    <a:rect l="l" t="t" r="r" b="b"/>
                                    <a:pathLst>
                                      <a:path w="9144" h="13716" extrusionOk="0">
                                        <a:moveTo>
                                          <a:pt x="0" y="0"/>
                                        </a:moveTo>
                                        <a:lnTo>
                                          <a:pt x="9144" y="0"/>
                                        </a:lnTo>
                                        <a:lnTo>
                                          <a:pt x="9144" y="13716"/>
                                        </a:lnTo>
                                        <a:lnTo>
                                          <a:pt x="0" y="13716"/>
                                        </a:lnTo>
                                        <a:lnTo>
                                          <a:pt x="0" y="0"/>
                                        </a:lnTo>
                                      </a:path>
                                    </a:pathLst>
                                  </a:custGeom>
                                  <a:solidFill>
                                    <a:srgbClr val="E3E3E3"/>
                                  </a:solidFill>
                                  <a:ln>
                                    <a:noFill/>
                                  </a:ln>
                                </wps:spPr>
                                <wps:bodyPr spcFirstLastPara="1" wrap="square" lIns="91425" tIns="91425" rIns="91425" bIns="91425" anchor="ctr" anchorCtr="0">
                                  <a:noAutofit/>
                                </wps:bodyPr>
                              </wps:wsp>
                              <wps:wsp>
                                <wps:cNvPr id="27" name="Freeform 27"/>
                                <wps:cNvSpPr/>
                                <wps:spPr>
                                  <a:xfrm>
                                    <a:off x="305" y="16891"/>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E3E3E3"/>
                                  </a:solidFill>
                                  <a:ln>
                                    <a:noFill/>
                                  </a:ln>
                                </wps:spPr>
                                <wps:bodyPr spcFirstLastPara="1" wrap="square" lIns="91425" tIns="91425" rIns="91425" bIns="91425" anchor="ctr" anchorCtr="0">
                                  <a:noAutofit/>
                                </wps:bodyPr>
                              </wps:wsp>
                              <wps:wsp>
                                <wps:cNvPr id="28" name="Freeform 28"/>
                                <wps:cNvSpPr/>
                                <wps:spPr>
                                  <a:xfrm>
                                    <a:off x="3353" y="16891"/>
                                    <a:ext cx="5938393" cy="9144"/>
                                  </a:xfrm>
                                  <a:custGeom>
                                    <a:avLst/>
                                    <a:gdLst/>
                                    <a:ahLst/>
                                    <a:cxnLst/>
                                    <a:rect l="l" t="t" r="r" b="b"/>
                                    <a:pathLst>
                                      <a:path w="5938393" h="9144" extrusionOk="0">
                                        <a:moveTo>
                                          <a:pt x="0" y="0"/>
                                        </a:moveTo>
                                        <a:lnTo>
                                          <a:pt x="5938393" y="0"/>
                                        </a:lnTo>
                                        <a:lnTo>
                                          <a:pt x="5938393" y="9144"/>
                                        </a:lnTo>
                                        <a:lnTo>
                                          <a:pt x="0" y="9144"/>
                                        </a:lnTo>
                                        <a:lnTo>
                                          <a:pt x="0" y="0"/>
                                        </a:lnTo>
                                      </a:path>
                                    </a:pathLst>
                                  </a:custGeom>
                                  <a:solidFill>
                                    <a:srgbClr val="E3E3E3"/>
                                  </a:solidFill>
                                  <a:ln>
                                    <a:noFill/>
                                  </a:ln>
                                </wps:spPr>
                                <wps:bodyPr spcFirstLastPara="1" wrap="square" lIns="91425" tIns="91425" rIns="91425" bIns="91425" anchor="ctr" anchorCtr="0">
                                  <a:noAutofit/>
                                </wps:bodyPr>
                              </wps:wsp>
                              <wps:wsp>
                                <wps:cNvPr id="29" name="Freeform 29"/>
                                <wps:cNvSpPr/>
                                <wps:spPr>
                                  <a:xfrm>
                                    <a:off x="5941822" y="16891"/>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E3E3E3"/>
                                  </a:solidFill>
                                  <a:ln>
                                    <a:noFill/>
                                  </a:ln>
                                </wps:spPr>
                                <wps:bodyPr spcFirstLastPara="1" wrap="square" lIns="91425" tIns="91425" rIns="91425" bIns="91425" anchor="ctr" anchorCtr="0">
                                  <a:noAutofit/>
                                </wps:bodyPr>
                              </wps:wsp>
                            </wpg:grpSp>
                          </wpg:grpSp>
                        </wpg:grpSp>
                      </wpg:grpSp>
                    </wpg:wgp>
                  </a:graphicData>
                </a:graphic>
              </wp:inline>
            </w:drawing>
          </mc:Choice>
          <mc:Fallback>
            <w:pict>
              <v:group w14:anchorId="46AE7305" id="Group 1" o:spid="_x0000_s1026" style="width:468.1pt;height:1.55pt;mso-position-horizontal-relative:char;mso-position-vertical-relative:line" coordorigin="23735,37700" coordsize="59448,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">
                <v:group id="Group 13" o:spid="_x0000_s1027" style="position:absolute;left:23735;top:37700;width:59449;height:199" coordorigin="23735,37700" coordsize="5944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4" o:spid="_x0000_s1028" style="position:absolute;left:23735;top:37700;width:59449;height: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14:paraId="56A365D4" w14:textId="77777777" w:rsidR="00707DD2" w:rsidRDefault="00707DD2" w:rsidP="00707DD2">
                          <w:pPr>
                            <w:spacing w:line="240" w:lineRule="auto"/>
                            <w:textDirection w:val="btLr"/>
                          </w:pPr>
                        </w:p>
                      </w:txbxContent>
                    </v:textbox>
                  </v:rect>
                  <v:group id="Group 15" o:spid="_x0000_s1029" style="position:absolute;left:23735;top:37700;width:59449;height:199" coordorigin="23735,37700" coordsize="5944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16" o:spid="_x0000_s1030" style="position:absolute;left:23735;top:37700;width:59449;height: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14:paraId="1CF75321" w14:textId="77777777" w:rsidR="00707DD2" w:rsidRDefault="00707DD2" w:rsidP="00707DD2">
                            <w:pPr>
                              <w:spacing w:line="240" w:lineRule="auto"/>
                              <w:ind w:hanging="10"/>
                              <w:textDirection w:val="btLr"/>
                            </w:pPr>
                          </w:p>
                        </w:txbxContent>
                      </v:textbox>
                    </v:rect>
                    <v:group id="Group 17" o:spid="_x0000_s1031" style="position:absolute;left:23735;top:37700;width:59449;height:199" coordorigin="23735,37700" coordsize="5950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18" o:spid="_x0000_s1032" style="position:absolute;left:23735;top:37700;width:59510;height: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14:paraId="54D867BE" w14:textId="77777777" w:rsidR="00707DD2" w:rsidRDefault="00707DD2" w:rsidP="00707DD2">
                              <w:pPr>
                                <w:spacing w:line="240" w:lineRule="auto"/>
                                <w:ind w:hanging="10"/>
                                <w:textDirection w:val="btLr"/>
                              </w:pPr>
                            </w:p>
                          </w:txbxContent>
                        </v:textbox>
                      </v:rect>
                      <v:group id="Group 19" o:spid="_x0000_s1033" style="position:absolute;left:23735;top:37700;width:59510;height:260" coordsize="5950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20" o:spid="_x0000_s1034" style="position:absolute;width:59448;height: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" filled="f" stroked="f">
                          <v:textbox inset="2.53958mm,2.53958mm,2.53958mm,2.53958mm">
                            <w:txbxContent>
                              <w:p w14:paraId="58C8FC81" w14:textId="77777777" w:rsidR="00707DD2" w:rsidRDefault="00707DD2" w:rsidP="00707DD2">
                                <w:pPr>
                                  <w:spacing w:line="240" w:lineRule="auto"/>
                                  <w:ind w:hanging="10"/>
                                  <w:textDirection w:val="btLr"/>
                                </w:pPr>
                              </w:p>
                            </w:txbxContent>
                          </v:textbox>
                        </v:rect>
                        <v:shape id="Freeform 21" o:spid="_x0000_s1035" style="position:absolute;width:59436;height:196;visibility:visible;mso-wrap-style:square;v-text-anchor:middle"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" path="m,l5943600,r,19685l,19685,,e" fillcolor="#a0a0a0" stroked="f">
                          <v:path arrowok="t" o:extrusionok="f"/>
                        </v:shape>
                        <v:shape id="Freeform 22" o:spid="_x0000_s1036" style="position:absolute;left:3;top:1;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" path="m,l9144,r,9144l,9144,,e" fillcolor="#a0a0a0" stroked="f">
                          <v:path arrowok="t" o:extrusionok="f"/>
                        </v:shape>
                        <v:shape id="Freeform 23" o:spid="_x0000_s1037" style="position:absolute;left:33;top:1;width:59384;height:91;visibility:visible;mso-wrap-style:square;v-text-anchor:middle" coordsize="5938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" path="m,l5938393,r,9144l,9144,,e" fillcolor="#a0a0a0" stroked="f">
                          <v:path arrowok="t" o:extrusionok="f"/>
                        </v:shape>
                        <v:shape id="Freeform 24" o:spid="_x0000_s1038" style="position:absolute;left:59418;top:1;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" path="m,l9144,r,9144l,9144,,e" fillcolor="#a0a0a0" stroked="f">
                          <v:path arrowok="t" o:extrusionok="f"/>
                        </v:shape>
                        <v:shape id="Freeform 25" o:spid="_x0000_s1039" style="position:absolute;left:3;top:31;width:91;height:137;visibility:visible;mso-wrap-style:square;v-text-anchor:middle"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" path="m,l9144,r,13716l,13716,,e" fillcolor="#a0a0a0" stroked="f">
                          <v:path arrowok="t" o:extrusionok="f"/>
                        </v:shape>
                        <v:shape id="Freeform 26" o:spid="_x0000_s1040" style="position:absolute;left:59418;top:31;width:91;height:137;visibility:visible;mso-wrap-style:square;v-text-anchor:middle"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" path="m,l9144,r,13716l,13716,,e" fillcolor="#e3e3e3" stroked="f">
                          <v:path arrowok="t" o:extrusionok="f"/>
                        </v:shape>
                        <v:shape id="Freeform 27" o:spid="_x0000_s1041" style="position:absolute;left:3;top:168;width:91;height:92;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" path="m,l9144,r,9144l,9144,,e" fillcolor="#e3e3e3" stroked="f">
                          <v:path arrowok="t" o:extrusionok="f"/>
                        </v:shape>
                        <v:shape id="Freeform 28" o:spid="_x0000_s1042" style="position:absolute;left:33;top:168;width:59384;height:92;visibility:visible;mso-wrap-style:square;v-text-anchor:middle" coordsize="5938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" path="m,l5938393,r,9144l,9144,,e" fillcolor="#e3e3e3" stroked="f">
                          <v:path arrowok="t" o:extrusionok="f"/>
                        </v:shape>
                        <v:shape id="Freeform 29" o:spid="_x0000_s1043" style="position:absolute;left:59418;top:168;width:91;height:92;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" path="m,l9144,r,9144l,9144,,e" fillcolor="#e3e3e3" stroked="f">
                          <v:path arrowok="t" o:extrusionok="f"/>
                        </v:shape>
                      </v:group>
                    </v:group>
                  </v:group>
                </v:group>
                <w10:anchorlock/>
              </v:group>
            </w:pict>
          </mc:Fallback>
        </mc:AlternateContent>
      </w:r>
      <w:r w:rsidRPr="30615883">
        <w:rPr>
          <w:rFonts w:ascii="Arial" w:eastAsia="Arial" w:hAnsi="Arial" w:cs="Arial"/>
        </w:rPr>
        <w:t xml:space="preserve"> </w:t>
      </w:r>
    </w:p>
    <w:p w14:paraId="6BDF8E9D" w14:textId="77777777" w:rsidR="00707DD2" w:rsidRPr="00707DD2" w:rsidRDefault="00707DD2" w:rsidP="30615883">
      <w:pPr>
        <w:spacing w:line="249" w:lineRule="auto"/>
        <w:ind w:left="-5" w:right="37"/>
        <w:jc w:val="both"/>
        <w:rPr>
          <w:rFonts w:ascii="Arial" w:eastAsia="Arial" w:hAnsi="Arial" w:cs="Arial"/>
          <w:b/>
          <w:bCs/>
        </w:rPr>
      </w:pPr>
      <w:r w:rsidRPr="30615883">
        <w:rPr>
          <w:rFonts w:ascii="Arial" w:eastAsia="Arial" w:hAnsi="Arial" w:cs="Arial"/>
        </w:rPr>
        <w:t xml:space="preserve">The following guidance should help policymakers and practitioners implement state, regional, and local career pathways.  The guidance is meant to clarify how a successful pathway—often comprised of one or more career pathway programs—should operate.  This guidance also addresses the career pathway system, which sets the policies and procedures that shape career pathways and can assist with strong pathway development and sustainability.  A-G represent elements of the WIOA Career Pathways definition, with added guidance to clarify and provide additional detail for each element.  </w:t>
      </w:r>
    </w:p>
    <w:p w14:paraId="7A6F1FEF" w14:textId="77777777" w:rsidR="00707DD2" w:rsidRPr="00FB0813" w:rsidRDefault="00707DD2" w:rsidP="30615883">
      <w:pPr>
        <w:spacing w:line="259" w:lineRule="auto"/>
        <w:jc w:val="both"/>
        <w:rPr>
          <w:rFonts w:ascii="Arial" w:eastAsia="Arial" w:hAnsi="Arial" w:cs="Arial"/>
          <w:b/>
          <w:bCs/>
          <w:sz w:val="28"/>
          <w:szCs w:val="28"/>
        </w:rPr>
      </w:pPr>
      <w:r w:rsidRPr="30615883">
        <w:rPr>
          <w:rFonts w:ascii="Arial" w:eastAsia="Arial" w:hAnsi="Arial" w:cs="Arial"/>
          <w:sz w:val="28"/>
          <w:szCs w:val="28"/>
        </w:rPr>
        <w:t xml:space="preserve"> </w:t>
      </w:r>
    </w:p>
    <w:p w14:paraId="1428FA41" w14:textId="77777777" w:rsidR="00707DD2" w:rsidRPr="00FB0813" w:rsidRDefault="00707DD2" w:rsidP="30615883">
      <w:pPr>
        <w:pStyle w:val="Heading2"/>
        <w:ind w:left="-5"/>
        <w:jc w:val="both"/>
        <w:rPr>
          <w:rFonts w:ascii="Arial" w:eastAsia="Arial" w:hAnsi="Arial" w:cs="Arial"/>
          <w:sz w:val="24"/>
          <w:szCs w:val="24"/>
        </w:rPr>
      </w:pPr>
      <w:bookmarkStart w:id="0" w:name="_111kx3o"/>
      <w:bookmarkEnd w:id="0"/>
      <w:r w:rsidRPr="30615883">
        <w:rPr>
          <w:rFonts w:ascii="Arial" w:eastAsia="Arial" w:hAnsi="Arial" w:cs="Arial"/>
          <w:sz w:val="24"/>
          <w:szCs w:val="24"/>
        </w:rPr>
        <w:t xml:space="preserve">(A) Aligns with the skill needs of industries in the economy of the State or regional economy involved. </w:t>
      </w:r>
    </w:p>
    <w:p w14:paraId="03154EC8" w14:textId="77777777" w:rsidR="00707DD2" w:rsidRPr="00707DD2" w:rsidRDefault="00707DD2" w:rsidP="30615883">
      <w:pPr>
        <w:spacing w:line="259" w:lineRule="auto"/>
        <w:jc w:val="both"/>
        <w:rPr>
          <w:rFonts w:ascii="Arial" w:eastAsia="Arial" w:hAnsi="Arial" w:cs="Arial"/>
          <w:b/>
          <w:bCs/>
        </w:rPr>
      </w:pPr>
      <w:r w:rsidRPr="30615883">
        <w:rPr>
          <w:rFonts w:ascii="Arial" w:eastAsia="Arial" w:hAnsi="Arial" w:cs="Arial"/>
        </w:rPr>
        <w:t xml:space="preserve"> </w:t>
      </w:r>
    </w:p>
    <w:p w14:paraId="637C06DA" w14:textId="77777777" w:rsidR="00707DD2" w:rsidRPr="00707DD2" w:rsidRDefault="00707DD2" w:rsidP="30615883">
      <w:pPr>
        <w:ind w:right="40" w:firstLine="10"/>
        <w:jc w:val="both"/>
        <w:rPr>
          <w:rFonts w:ascii="Arial" w:eastAsia="Arial" w:hAnsi="Arial" w:cs="Arial"/>
          <w:b/>
          <w:bCs/>
        </w:rPr>
      </w:pPr>
      <w:r w:rsidRPr="30615883">
        <w:rPr>
          <w:rFonts w:ascii="Arial" w:eastAsia="Arial" w:hAnsi="Arial" w:cs="Arial"/>
        </w:rPr>
        <w:t xml:space="preserve">Career pathways should: </w:t>
      </w:r>
    </w:p>
    <w:p w14:paraId="281FBBE1" w14:textId="77777777" w:rsidR="00707DD2" w:rsidRPr="00707DD2" w:rsidRDefault="00707DD2" w:rsidP="30615883">
      <w:pPr>
        <w:numPr>
          <w:ilvl w:val="0"/>
          <w:numId w:val="4"/>
        </w:numPr>
        <w:spacing w:after="5" w:line="248" w:lineRule="auto"/>
        <w:ind w:right="40"/>
        <w:jc w:val="both"/>
        <w:rPr>
          <w:rFonts w:ascii="Arial" w:eastAsia="Arial" w:hAnsi="Arial" w:cs="Arial"/>
        </w:rPr>
      </w:pPr>
      <w:r w:rsidRPr="30615883">
        <w:rPr>
          <w:rFonts w:ascii="Arial" w:eastAsia="Arial" w:hAnsi="Arial" w:cs="Arial"/>
        </w:rPr>
        <w:t xml:space="preserve">Use labor market data, informed by state, regional, and local employers, to design sector-focused programs that meet the needs of the employers in the state, regional, and local economies. </w:t>
      </w:r>
    </w:p>
    <w:p w14:paraId="647779AF" w14:textId="77777777" w:rsidR="00707DD2" w:rsidRPr="00707DD2" w:rsidRDefault="00707DD2" w:rsidP="30615883">
      <w:pPr>
        <w:numPr>
          <w:ilvl w:val="0"/>
          <w:numId w:val="4"/>
        </w:numPr>
        <w:spacing w:after="54" w:line="248" w:lineRule="auto"/>
        <w:ind w:right="40"/>
        <w:jc w:val="both"/>
        <w:rPr>
          <w:rFonts w:ascii="Arial" w:eastAsia="Arial" w:hAnsi="Arial" w:cs="Arial"/>
        </w:rPr>
      </w:pPr>
      <w:r w:rsidRPr="30615883">
        <w:rPr>
          <w:rFonts w:ascii="Arial" w:eastAsia="Arial" w:hAnsi="Arial" w:cs="Arial"/>
        </w:rPr>
        <w:t>Regularly and meaningfully engage employers at every stage of pathway development in an interactive, ongoing relationship</w:t>
      </w:r>
      <w:r w:rsidRPr="30615883">
        <w:rPr>
          <w:rFonts w:ascii="Arial" w:eastAsia="Arial" w:hAnsi="Arial" w:cs="Arial"/>
          <w:vertAlign w:val="superscript"/>
        </w:rPr>
        <w:footnoteReference w:id="1"/>
      </w:r>
      <w:r w:rsidRPr="30615883">
        <w:rPr>
          <w:rFonts w:ascii="Arial" w:eastAsia="Arial" w:hAnsi="Arial" w:cs="Arial"/>
        </w:rPr>
        <w:t xml:space="preserve"> and encourage employers to assume leadership roles. </w:t>
      </w:r>
    </w:p>
    <w:p w14:paraId="56840B56" w14:textId="77777777" w:rsidR="00707DD2" w:rsidRPr="00707DD2" w:rsidRDefault="00707DD2" w:rsidP="30615883">
      <w:pPr>
        <w:numPr>
          <w:ilvl w:val="0"/>
          <w:numId w:val="4"/>
        </w:numPr>
        <w:spacing w:line="248" w:lineRule="auto"/>
        <w:ind w:right="40"/>
        <w:jc w:val="both"/>
        <w:rPr>
          <w:rFonts w:ascii="Arial" w:eastAsia="Arial" w:hAnsi="Arial" w:cs="Arial"/>
        </w:rPr>
      </w:pPr>
      <w:r w:rsidRPr="30615883">
        <w:rPr>
          <w:rFonts w:ascii="Arial" w:eastAsia="Arial" w:hAnsi="Arial" w:cs="Arial"/>
        </w:rPr>
        <w:t xml:space="preserve">Identify the certifications, licenses, and industry-recognized credentials that state, regional, and local employers require and craft programs leading to them. </w:t>
      </w:r>
    </w:p>
    <w:p w14:paraId="22B3B723" w14:textId="77777777" w:rsidR="00707DD2" w:rsidRPr="00707DD2" w:rsidRDefault="00707DD2" w:rsidP="30615883">
      <w:pPr>
        <w:spacing w:line="259" w:lineRule="auto"/>
        <w:jc w:val="both"/>
        <w:rPr>
          <w:rFonts w:ascii="Arial" w:eastAsia="Arial" w:hAnsi="Arial" w:cs="Arial"/>
          <w:b/>
          <w:bCs/>
        </w:rPr>
      </w:pPr>
      <w:r w:rsidRPr="30615883">
        <w:rPr>
          <w:rFonts w:ascii="Arial" w:eastAsia="Arial" w:hAnsi="Arial" w:cs="Arial"/>
        </w:rPr>
        <w:t xml:space="preserve"> </w:t>
      </w:r>
    </w:p>
    <w:p w14:paraId="63858BD6" w14:textId="77777777" w:rsidR="00707DD2" w:rsidRPr="00FB0813" w:rsidRDefault="00707DD2" w:rsidP="30615883">
      <w:pPr>
        <w:pStyle w:val="Heading2"/>
        <w:ind w:left="-5"/>
        <w:jc w:val="both"/>
        <w:rPr>
          <w:rFonts w:ascii="Arial" w:eastAsia="Arial" w:hAnsi="Arial" w:cs="Arial"/>
          <w:sz w:val="24"/>
          <w:szCs w:val="24"/>
        </w:rPr>
      </w:pPr>
      <w:bookmarkStart w:id="1" w:name="_3l18frh" w:colFirst="0" w:colLast="0"/>
      <w:bookmarkEnd w:id="1"/>
      <w:r w:rsidRPr="30615883">
        <w:rPr>
          <w:rFonts w:ascii="Arial" w:eastAsia="Arial" w:hAnsi="Arial" w:cs="Arial"/>
          <w:sz w:val="24"/>
          <w:szCs w:val="24"/>
        </w:rPr>
        <w:t>(B) Prepares an individual to be successful in any of a full range of secondary or postsecondary education options, including apprenticeships registered under the National Apprenticeship Act.</w:t>
      </w:r>
      <w:r w:rsidRPr="30615883">
        <w:rPr>
          <w:rFonts w:ascii="Arial" w:eastAsia="Arial" w:hAnsi="Arial" w:cs="Arial"/>
          <w:sz w:val="24"/>
          <w:szCs w:val="24"/>
          <w:vertAlign w:val="superscript"/>
        </w:rPr>
        <w:footnoteReference w:id="2"/>
      </w:r>
      <w:r w:rsidRPr="30615883">
        <w:rPr>
          <w:rFonts w:ascii="Arial" w:eastAsia="Arial" w:hAnsi="Arial" w:cs="Arial"/>
          <w:sz w:val="24"/>
          <w:szCs w:val="24"/>
        </w:rPr>
        <w:t xml:space="preserve"> </w:t>
      </w:r>
    </w:p>
    <w:p w14:paraId="15526D95" w14:textId="77777777" w:rsidR="00707DD2" w:rsidRPr="00707DD2" w:rsidRDefault="00707DD2" w:rsidP="30615883">
      <w:pPr>
        <w:spacing w:line="259" w:lineRule="auto"/>
        <w:jc w:val="both"/>
        <w:rPr>
          <w:rFonts w:ascii="Arial" w:eastAsia="Arial" w:hAnsi="Arial" w:cs="Arial"/>
          <w:b/>
          <w:bCs/>
        </w:rPr>
      </w:pPr>
      <w:r w:rsidRPr="30615883">
        <w:rPr>
          <w:rFonts w:ascii="Arial" w:eastAsia="Arial" w:hAnsi="Arial" w:cs="Arial"/>
        </w:rPr>
        <w:t xml:space="preserve"> </w:t>
      </w:r>
    </w:p>
    <w:p w14:paraId="1642A2A1" w14:textId="77777777" w:rsidR="00707DD2" w:rsidRPr="00707DD2" w:rsidRDefault="00707DD2" w:rsidP="30615883">
      <w:pPr>
        <w:ind w:right="40" w:firstLine="10"/>
        <w:jc w:val="both"/>
        <w:rPr>
          <w:rFonts w:ascii="Arial" w:eastAsia="Arial" w:hAnsi="Arial" w:cs="Arial"/>
          <w:b/>
          <w:bCs/>
        </w:rPr>
      </w:pPr>
      <w:r w:rsidRPr="30615883">
        <w:rPr>
          <w:rFonts w:ascii="Arial" w:eastAsia="Arial" w:hAnsi="Arial" w:cs="Arial"/>
        </w:rPr>
        <w:t xml:space="preserve">Career pathways should: </w:t>
      </w:r>
    </w:p>
    <w:p w14:paraId="1565C87E" w14:textId="77777777" w:rsidR="00707DD2" w:rsidRPr="00707DD2" w:rsidRDefault="00707DD2" w:rsidP="30615883">
      <w:pPr>
        <w:numPr>
          <w:ilvl w:val="0"/>
          <w:numId w:val="4"/>
        </w:numPr>
        <w:spacing w:after="54" w:line="248" w:lineRule="auto"/>
        <w:ind w:right="40"/>
        <w:jc w:val="both"/>
        <w:rPr>
          <w:rFonts w:ascii="Arial" w:eastAsia="Arial" w:hAnsi="Arial" w:cs="Arial"/>
        </w:rPr>
      </w:pPr>
      <w:r w:rsidRPr="30615883">
        <w:rPr>
          <w:rFonts w:ascii="Arial" w:eastAsia="Arial" w:hAnsi="Arial" w:cs="Arial"/>
        </w:rPr>
        <w:t>Enable lifelong learning that ensures youth and adult participants can gain entry to and advance, as desired, through successive education and training programs, leading to stackable credentials</w:t>
      </w:r>
      <w:r w:rsidRPr="30615883">
        <w:rPr>
          <w:rFonts w:ascii="Arial" w:eastAsia="Arial" w:hAnsi="Arial" w:cs="Arial"/>
          <w:vertAlign w:val="superscript"/>
        </w:rPr>
        <w:footnoteReference w:id="3"/>
      </w:r>
      <w:r w:rsidRPr="30615883">
        <w:rPr>
          <w:rFonts w:ascii="Arial" w:eastAsia="Arial" w:hAnsi="Arial" w:cs="Arial"/>
        </w:rPr>
        <w:t xml:space="preserve"> in each occupational cluster. </w:t>
      </w:r>
    </w:p>
    <w:p w14:paraId="4FC0EC1A" w14:textId="6B385FC3" w:rsidR="00707DD2" w:rsidRPr="00FB0813" w:rsidRDefault="00707DD2" w:rsidP="30615883">
      <w:pPr>
        <w:numPr>
          <w:ilvl w:val="0"/>
          <w:numId w:val="4"/>
        </w:numPr>
        <w:spacing w:after="54" w:line="248" w:lineRule="auto"/>
        <w:ind w:right="40"/>
        <w:jc w:val="both"/>
        <w:rPr>
          <w:rFonts w:ascii="Arial" w:eastAsia="Arial" w:hAnsi="Arial" w:cs="Arial"/>
        </w:rPr>
      </w:pPr>
      <w:r w:rsidRPr="30615883">
        <w:rPr>
          <w:rFonts w:ascii="Arial" w:eastAsia="Arial" w:hAnsi="Arial" w:cs="Arial"/>
        </w:rPr>
        <w:t>Lead to jobs in increasingly high-skill, high-wage, and/or high-demand industries. Ensure access and appropriate services for the targeted populations included in the State of Illinois Workforce Innovation and Opportunity Act Unified State Plan.</w:t>
      </w:r>
      <w:r w:rsidRPr="30615883">
        <w:rPr>
          <w:rFonts w:ascii="Arial" w:eastAsia="Arial" w:hAnsi="Arial" w:cs="Arial"/>
          <w:vertAlign w:val="superscript"/>
        </w:rPr>
        <w:footnoteReference w:id="4"/>
      </w:r>
      <w:r w:rsidRPr="30615883">
        <w:rPr>
          <w:rFonts w:ascii="Arial" w:eastAsia="Arial" w:hAnsi="Arial" w:cs="Arial"/>
        </w:rPr>
        <w:t xml:space="preserve">  </w:t>
      </w:r>
    </w:p>
    <w:p w14:paraId="372E8148" w14:textId="52983C5E" w:rsidR="00707DD2" w:rsidRPr="00FB0813" w:rsidRDefault="00707DD2" w:rsidP="30615883">
      <w:pPr>
        <w:spacing w:line="240" w:lineRule="auto"/>
        <w:ind w:right="43"/>
        <w:jc w:val="both"/>
        <w:rPr>
          <w:rFonts w:ascii="Arial" w:eastAsia="Arial" w:hAnsi="Arial" w:cs="Arial"/>
          <w:b/>
          <w:bCs/>
        </w:rPr>
      </w:pPr>
      <w:r w:rsidRPr="30615883">
        <w:rPr>
          <w:rFonts w:ascii="Arial" w:eastAsia="Arial" w:hAnsi="Arial" w:cs="Arial"/>
          <w:b/>
          <w:bCs/>
        </w:rPr>
        <w:t xml:space="preserve">(C) Includes counseling to support an individual in achieving the individual’s education and career goals;   </w:t>
      </w:r>
    </w:p>
    <w:p w14:paraId="3550CB80" w14:textId="77777777" w:rsidR="00213D48" w:rsidRPr="00707DD2" w:rsidRDefault="00213D48" w:rsidP="30615883">
      <w:pPr>
        <w:spacing w:line="240" w:lineRule="auto"/>
        <w:ind w:right="43"/>
        <w:jc w:val="both"/>
        <w:rPr>
          <w:rFonts w:ascii="Arial" w:eastAsia="Arial" w:hAnsi="Arial" w:cs="Arial"/>
          <w:b/>
          <w:bCs/>
        </w:rPr>
      </w:pPr>
    </w:p>
    <w:p w14:paraId="0E2266D9" w14:textId="77777777" w:rsidR="00707DD2" w:rsidRPr="00707DD2" w:rsidRDefault="00707DD2" w:rsidP="30615883">
      <w:pPr>
        <w:ind w:right="40" w:firstLine="10"/>
        <w:jc w:val="both"/>
        <w:rPr>
          <w:rFonts w:ascii="Arial" w:eastAsia="Arial" w:hAnsi="Arial" w:cs="Arial"/>
          <w:b/>
          <w:bCs/>
        </w:rPr>
      </w:pPr>
      <w:r w:rsidRPr="30615883">
        <w:rPr>
          <w:rFonts w:ascii="Arial" w:eastAsia="Arial" w:hAnsi="Arial" w:cs="Arial"/>
        </w:rPr>
        <w:t xml:space="preserve">Career pathways should: </w:t>
      </w:r>
    </w:p>
    <w:p w14:paraId="58D05571" w14:textId="77777777" w:rsidR="00707DD2" w:rsidRPr="00707DD2" w:rsidRDefault="00707DD2" w:rsidP="30615883">
      <w:pPr>
        <w:numPr>
          <w:ilvl w:val="0"/>
          <w:numId w:val="5"/>
        </w:numPr>
        <w:spacing w:after="5" w:line="248" w:lineRule="auto"/>
        <w:ind w:right="40"/>
        <w:jc w:val="both"/>
        <w:rPr>
          <w:rFonts w:ascii="Arial" w:eastAsia="Arial" w:hAnsi="Arial" w:cs="Arial"/>
        </w:rPr>
      </w:pPr>
      <w:r w:rsidRPr="30615883">
        <w:rPr>
          <w:rFonts w:ascii="Arial" w:eastAsia="Arial" w:hAnsi="Arial" w:cs="Arial"/>
        </w:rPr>
        <w:t xml:space="preserve">Ensure participants have access to career exploration, academic advising, support with transitions through the pathway, and comprehensive individualized support services, such as, but not limited to, </w:t>
      </w:r>
      <w:proofErr w:type="gramStart"/>
      <w:r w:rsidRPr="30615883">
        <w:rPr>
          <w:rFonts w:ascii="Arial" w:eastAsia="Arial" w:hAnsi="Arial" w:cs="Arial"/>
        </w:rPr>
        <w:t>child care</w:t>
      </w:r>
      <w:proofErr w:type="gramEnd"/>
      <w:r w:rsidRPr="30615883">
        <w:rPr>
          <w:rFonts w:ascii="Arial" w:eastAsia="Arial" w:hAnsi="Arial" w:cs="Arial"/>
        </w:rPr>
        <w:t xml:space="preserve">, transportation, and financial aid (where appropriate). </w:t>
      </w:r>
    </w:p>
    <w:p w14:paraId="4B6ABC3F" w14:textId="77777777" w:rsidR="00707DD2" w:rsidRPr="00707DD2" w:rsidRDefault="00707DD2" w:rsidP="30615883">
      <w:pPr>
        <w:numPr>
          <w:ilvl w:val="0"/>
          <w:numId w:val="5"/>
        </w:numPr>
        <w:spacing w:line="248" w:lineRule="auto"/>
        <w:ind w:right="40"/>
        <w:jc w:val="both"/>
        <w:rPr>
          <w:rFonts w:ascii="Arial" w:eastAsia="Arial" w:hAnsi="Arial" w:cs="Arial"/>
        </w:rPr>
      </w:pPr>
      <w:r w:rsidRPr="30615883">
        <w:rPr>
          <w:rFonts w:ascii="Arial" w:eastAsia="Arial" w:hAnsi="Arial" w:cs="Arial"/>
        </w:rPr>
        <w:t xml:space="preserve">Involve partnerships among K-12, postsecondary educational institutions, workforce training, development agencies, public and private employers, workforce boards, human services providers, and other partners to ensure participant access to the above services. </w:t>
      </w:r>
    </w:p>
    <w:p w14:paraId="58C4A1D0" w14:textId="77777777" w:rsidR="00707DD2" w:rsidRPr="00707DD2" w:rsidRDefault="00707DD2" w:rsidP="30615883">
      <w:pPr>
        <w:spacing w:line="259" w:lineRule="auto"/>
        <w:ind w:left="720"/>
        <w:jc w:val="both"/>
        <w:rPr>
          <w:rFonts w:ascii="Arial" w:eastAsia="Arial" w:hAnsi="Arial" w:cs="Arial"/>
          <w:b/>
          <w:bCs/>
        </w:rPr>
      </w:pPr>
      <w:r w:rsidRPr="30615883">
        <w:rPr>
          <w:rFonts w:ascii="Arial" w:eastAsia="Arial" w:hAnsi="Arial" w:cs="Arial"/>
        </w:rPr>
        <w:t xml:space="preserve"> </w:t>
      </w:r>
    </w:p>
    <w:p w14:paraId="0A809C1B" w14:textId="77777777" w:rsidR="00707DD2" w:rsidRPr="00FB0813" w:rsidRDefault="00707DD2" w:rsidP="30615883">
      <w:pPr>
        <w:pStyle w:val="Heading2"/>
        <w:ind w:left="-5"/>
        <w:jc w:val="both"/>
        <w:rPr>
          <w:rFonts w:ascii="Arial" w:eastAsia="Arial" w:hAnsi="Arial" w:cs="Arial"/>
          <w:sz w:val="24"/>
          <w:szCs w:val="24"/>
        </w:rPr>
      </w:pPr>
      <w:bookmarkStart w:id="2" w:name="_206ipza" w:colFirst="0" w:colLast="0"/>
      <w:bookmarkEnd w:id="2"/>
      <w:r w:rsidRPr="30615883">
        <w:rPr>
          <w:rFonts w:ascii="Arial" w:eastAsia="Arial" w:hAnsi="Arial" w:cs="Arial"/>
          <w:sz w:val="24"/>
          <w:szCs w:val="24"/>
        </w:rPr>
        <w:t>(D) Includes, as appropriate, education offered concurrently with and in the same context as workforce preparation activities</w:t>
      </w:r>
      <w:r w:rsidRPr="30615883">
        <w:rPr>
          <w:rFonts w:ascii="Arial" w:eastAsia="Arial" w:hAnsi="Arial" w:cs="Arial"/>
          <w:sz w:val="24"/>
          <w:szCs w:val="24"/>
          <w:vertAlign w:val="superscript"/>
        </w:rPr>
        <w:footnoteReference w:id="5"/>
      </w:r>
      <w:r w:rsidRPr="30615883">
        <w:rPr>
          <w:rFonts w:ascii="Arial" w:eastAsia="Arial" w:hAnsi="Arial" w:cs="Arial"/>
          <w:sz w:val="24"/>
          <w:szCs w:val="24"/>
        </w:rPr>
        <w:t xml:space="preserve"> and training for a specific occupation or occupational cluster; </w:t>
      </w:r>
    </w:p>
    <w:p w14:paraId="1AC8CE88" w14:textId="6CBEB37F" w:rsidR="00FB0813" w:rsidRPr="00FB0813" w:rsidRDefault="00707DD2" w:rsidP="30615883">
      <w:pPr>
        <w:spacing w:line="259" w:lineRule="auto"/>
        <w:jc w:val="both"/>
        <w:rPr>
          <w:rFonts w:ascii="Arial" w:eastAsia="Arial" w:hAnsi="Arial" w:cs="Arial"/>
          <w:b/>
          <w:bCs/>
        </w:rPr>
      </w:pPr>
      <w:r w:rsidRPr="30615883">
        <w:rPr>
          <w:rFonts w:ascii="Arial" w:eastAsia="Arial" w:hAnsi="Arial" w:cs="Arial"/>
        </w:rPr>
        <w:t xml:space="preserve"> </w:t>
      </w:r>
    </w:p>
    <w:p w14:paraId="0331DB3F" w14:textId="7F2A749E" w:rsidR="00707DD2" w:rsidRPr="00707DD2" w:rsidRDefault="00707DD2" w:rsidP="30615883">
      <w:pPr>
        <w:ind w:right="40" w:firstLine="10"/>
        <w:jc w:val="both"/>
        <w:rPr>
          <w:rFonts w:ascii="Arial" w:eastAsia="Arial" w:hAnsi="Arial" w:cs="Arial"/>
          <w:b/>
          <w:bCs/>
        </w:rPr>
      </w:pPr>
      <w:r w:rsidRPr="30615883">
        <w:rPr>
          <w:rFonts w:ascii="Arial" w:eastAsia="Arial" w:hAnsi="Arial" w:cs="Arial"/>
        </w:rPr>
        <w:t xml:space="preserve">Career pathways should: </w:t>
      </w:r>
    </w:p>
    <w:p w14:paraId="2AB4B52A" w14:textId="77777777" w:rsidR="00707DD2" w:rsidRPr="00707DD2" w:rsidRDefault="00707DD2" w:rsidP="30615883">
      <w:pPr>
        <w:numPr>
          <w:ilvl w:val="0"/>
          <w:numId w:val="1"/>
        </w:numPr>
        <w:spacing w:after="60" w:line="238" w:lineRule="auto"/>
        <w:ind w:right="40"/>
        <w:jc w:val="both"/>
        <w:rPr>
          <w:rFonts w:ascii="Arial" w:eastAsia="Arial" w:hAnsi="Arial" w:cs="Arial"/>
        </w:rPr>
      </w:pPr>
      <w:r w:rsidRPr="30615883">
        <w:rPr>
          <w:rFonts w:ascii="Arial" w:eastAsia="Arial" w:hAnsi="Arial" w:cs="Arial"/>
        </w:rPr>
        <w:t>Include career-focused instruction that integrates academic and technical content with foundational professional skills</w:t>
      </w:r>
      <w:r w:rsidRPr="30615883">
        <w:rPr>
          <w:rFonts w:ascii="Arial" w:eastAsia="Arial" w:hAnsi="Arial" w:cs="Arial"/>
          <w:vertAlign w:val="superscript"/>
        </w:rPr>
        <w:footnoteReference w:id="6"/>
      </w:r>
      <w:r w:rsidRPr="30615883">
        <w:rPr>
          <w:rFonts w:ascii="Arial" w:eastAsia="Arial" w:hAnsi="Arial" w:cs="Arial"/>
        </w:rPr>
        <w:t xml:space="preserve">, which are skills needed for success in education, training, career, and life. </w:t>
      </w:r>
    </w:p>
    <w:p w14:paraId="7196DC59" w14:textId="77777777" w:rsidR="00707DD2" w:rsidRPr="00707DD2" w:rsidRDefault="00707DD2" w:rsidP="30615883">
      <w:pPr>
        <w:numPr>
          <w:ilvl w:val="0"/>
          <w:numId w:val="1"/>
        </w:numPr>
        <w:spacing w:after="5" w:line="248" w:lineRule="auto"/>
        <w:ind w:right="40"/>
        <w:jc w:val="both"/>
        <w:rPr>
          <w:rFonts w:ascii="Arial" w:eastAsia="Arial" w:hAnsi="Arial" w:cs="Arial"/>
        </w:rPr>
      </w:pPr>
      <w:r w:rsidRPr="30615883">
        <w:rPr>
          <w:rFonts w:ascii="Arial" w:eastAsia="Arial" w:hAnsi="Arial" w:cs="Arial"/>
        </w:rPr>
        <w:t>Offer opportunities for work-based learning</w:t>
      </w:r>
      <w:r w:rsidRPr="30615883">
        <w:rPr>
          <w:rFonts w:ascii="Arial" w:eastAsia="Arial" w:hAnsi="Arial" w:cs="Arial"/>
          <w:vertAlign w:val="superscript"/>
        </w:rPr>
        <w:footnoteReference w:id="7"/>
      </w:r>
      <w:r w:rsidRPr="30615883">
        <w:rPr>
          <w:rFonts w:ascii="Arial" w:eastAsia="Arial" w:hAnsi="Arial" w:cs="Arial"/>
        </w:rPr>
        <w:t xml:space="preserve"> experiences. </w:t>
      </w:r>
    </w:p>
    <w:p w14:paraId="4390418F" w14:textId="77777777" w:rsidR="00707DD2" w:rsidRPr="00707DD2" w:rsidRDefault="00707DD2" w:rsidP="30615883">
      <w:pPr>
        <w:numPr>
          <w:ilvl w:val="0"/>
          <w:numId w:val="1"/>
        </w:numPr>
        <w:spacing w:line="248" w:lineRule="auto"/>
        <w:ind w:right="40"/>
        <w:jc w:val="both"/>
        <w:rPr>
          <w:rFonts w:ascii="Arial" w:eastAsia="Arial" w:hAnsi="Arial" w:cs="Arial"/>
        </w:rPr>
      </w:pPr>
      <w:r w:rsidRPr="30615883">
        <w:rPr>
          <w:rFonts w:ascii="Arial" w:eastAsia="Arial" w:hAnsi="Arial" w:cs="Arial"/>
        </w:rPr>
        <w:t xml:space="preserve">Offer job placement assistant services that are tailored to participant needs at different points along the pathway. </w:t>
      </w:r>
    </w:p>
    <w:p w14:paraId="102FF547" w14:textId="77777777" w:rsidR="00707DD2" w:rsidRPr="00707DD2" w:rsidRDefault="00707DD2" w:rsidP="30615883">
      <w:pPr>
        <w:spacing w:line="259" w:lineRule="auto"/>
        <w:jc w:val="both"/>
        <w:rPr>
          <w:rFonts w:ascii="Arial" w:eastAsia="Arial" w:hAnsi="Arial" w:cs="Arial"/>
          <w:b/>
          <w:bCs/>
        </w:rPr>
      </w:pPr>
      <w:r w:rsidRPr="30615883">
        <w:rPr>
          <w:rFonts w:ascii="Arial" w:eastAsia="Arial" w:hAnsi="Arial" w:cs="Arial"/>
        </w:rPr>
        <w:t xml:space="preserve"> </w:t>
      </w:r>
    </w:p>
    <w:p w14:paraId="1AE14E9B" w14:textId="77777777" w:rsidR="00707DD2" w:rsidRPr="00707DD2" w:rsidRDefault="00707DD2" w:rsidP="30615883">
      <w:pPr>
        <w:pStyle w:val="Heading2"/>
        <w:ind w:left="-5"/>
        <w:jc w:val="both"/>
        <w:rPr>
          <w:rFonts w:ascii="Arial" w:eastAsia="Arial" w:hAnsi="Arial" w:cs="Arial"/>
          <w:b w:val="0"/>
        </w:rPr>
      </w:pPr>
      <w:bookmarkStart w:id="3" w:name="_4k668n3"/>
      <w:bookmarkEnd w:id="3"/>
      <w:r w:rsidRPr="30615883">
        <w:rPr>
          <w:rFonts w:ascii="Arial" w:eastAsia="Arial" w:hAnsi="Arial" w:cs="Arial"/>
          <w:b w:val="0"/>
        </w:rPr>
        <w:t>(</w:t>
      </w:r>
      <w:r w:rsidRPr="30615883">
        <w:rPr>
          <w:rFonts w:ascii="Arial" w:eastAsia="Arial" w:hAnsi="Arial" w:cs="Arial"/>
          <w:sz w:val="24"/>
          <w:szCs w:val="24"/>
        </w:rPr>
        <w:t>E) Organizes education, training, and other services to meet the needs of an individual in a manner that accelerates the educational and career advancement of the individual to the extent practicable;</w:t>
      </w:r>
      <w:r w:rsidRPr="30615883">
        <w:rPr>
          <w:rFonts w:ascii="Arial" w:eastAsia="Arial" w:hAnsi="Arial" w:cs="Arial"/>
          <w:b w:val="0"/>
          <w:sz w:val="24"/>
          <w:szCs w:val="24"/>
        </w:rPr>
        <w:t xml:space="preserve">   </w:t>
      </w:r>
    </w:p>
    <w:p w14:paraId="5091516C" w14:textId="77777777" w:rsidR="00707DD2" w:rsidRPr="00707DD2" w:rsidRDefault="00707DD2" w:rsidP="30615883">
      <w:pPr>
        <w:spacing w:line="259" w:lineRule="auto"/>
        <w:rPr>
          <w:rFonts w:ascii="Arial" w:eastAsia="Arial" w:hAnsi="Arial" w:cs="Arial"/>
        </w:rPr>
      </w:pPr>
      <w:r w:rsidRPr="30615883">
        <w:rPr>
          <w:rFonts w:ascii="Arial" w:eastAsia="Arial" w:hAnsi="Arial" w:cs="Arial"/>
        </w:rPr>
        <w:t xml:space="preserve"> </w:t>
      </w:r>
    </w:p>
    <w:p w14:paraId="71ED7027" w14:textId="77777777" w:rsidR="00707DD2" w:rsidRPr="00707DD2" w:rsidRDefault="00707DD2" w:rsidP="30615883">
      <w:pPr>
        <w:spacing w:line="240" w:lineRule="auto"/>
        <w:ind w:right="43" w:firstLine="14"/>
        <w:jc w:val="both"/>
        <w:rPr>
          <w:rFonts w:ascii="Arial" w:eastAsia="Arial" w:hAnsi="Arial" w:cs="Arial"/>
          <w:b/>
          <w:bCs/>
        </w:rPr>
      </w:pPr>
      <w:r w:rsidRPr="30615883">
        <w:rPr>
          <w:rFonts w:ascii="Arial" w:eastAsia="Arial" w:hAnsi="Arial" w:cs="Arial"/>
        </w:rPr>
        <w:t>Career pathways should: Offer quality, non-duplicative training, coursework, assignments, and assessments</w:t>
      </w:r>
      <w:r w:rsidRPr="30615883">
        <w:rPr>
          <w:rFonts w:ascii="Arial" w:eastAsia="Arial" w:hAnsi="Arial" w:cs="Arial"/>
          <w:vertAlign w:val="superscript"/>
        </w:rPr>
        <w:footnoteReference w:id="8"/>
      </w:r>
      <w:r w:rsidRPr="30615883">
        <w:rPr>
          <w:rFonts w:ascii="Arial" w:eastAsia="Arial" w:hAnsi="Arial" w:cs="Arial"/>
        </w:rPr>
        <w:t xml:space="preserve"> to accelerate progress, maximize credit and credential attainment, and increase student success. </w:t>
      </w:r>
    </w:p>
    <w:p w14:paraId="3CF472CB" w14:textId="77777777" w:rsidR="00707DD2" w:rsidRPr="00707DD2" w:rsidRDefault="00707DD2" w:rsidP="30615883">
      <w:pPr>
        <w:numPr>
          <w:ilvl w:val="0"/>
          <w:numId w:val="1"/>
        </w:numPr>
        <w:spacing w:after="60" w:line="238" w:lineRule="auto"/>
        <w:ind w:right="40"/>
        <w:jc w:val="both"/>
        <w:rPr>
          <w:rFonts w:ascii="Arial" w:eastAsia="Arial" w:hAnsi="Arial" w:cs="Arial"/>
        </w:rPr>
      </w:pPr>
      <w:r w:rsidRPr="30615883">
        <w:rPr>
          <w:rFonts w:ascii="Arial" w:eastAsia="Arial" w:hAnsi="Arial" w:cs="Arial"/>
        </w:rPr>
        <w:t xml:space="preserve">Encourage concurrent enrollment and early college credit opportunities that support progression through the pathway. </w:t>
      </w:r>
    </w:p>
    <w:p w14:paraId="08E49B82" w14:textId="77777777" w:rsidR="00707DD2" w:rsidRPr="00707DD2" w:rsidRDefault="00707DD2" w:rsidP="30615883">
      <w:pPr>
        <w:numPr>
          <w:ilvl w:val="0"/>
          <w:numId w:val="1"/>
        </w:numPr>
        <w:spacing w:after="60" w:line="238" w:lineRule="auto"/>
        <w:ind w:right="40"/>
        <w:jc w:val="both"/>
        <w:rPr>
          <w:rFonts w:ascii="Arial" w:eastAsia="Arial" w:hAnsi="Arial" w:cs="Arial"/>
        </w:rPr>
      </w:pPr>
      <w:r w:rsidRPr="30615883">
        <w:rPr>
          <w:rFonts w:ascii="Arial" w:eastAsia="Arial" w:hAnsi="Arial" w:cs="Arial"/>
        </w:rPr>
        <w:t>Offer participant-focused education and training that incorporates flexible class formats, locations, and times that make learning accessible and achievable for all populations.  Strategies include, but are not limited to, modularized curriculum</w:t>
      </w:r>
      <w:r w:rsidRPr="30615883">
        <w:rPr>
          <w:rFonts w:ascii="Arial" w:eastAsia="Arial" w:hAnsi="Arial" w:cs="Arial"/>
          <w:vertAlign w:val="superscript"/>
        </w:rPr>
        <w:footnoteReference w:id="9"/>
      </w:r>
      <w:r w:rsidRPr="30615883">
        <w:rPr>
          <w:rFonts w:ascii="Arial" w:eastAsia="Arial" w:hAnsi="Arial" w:cs="Arial"/>
        </w:rPr>
        <w:t>, contextualized curriculum and instruction</w:t>
      </w:r>
      <w:r w:rsidRPr="30615883">
        <w:rPr>
          <w:rFonts w:ascii="Arial" w:eastAsia="Arial" w:hAnsi="Arial" w:cs="Arial"/>
          <w:vertAlign w:val="superscript"/>
        </w:rPr>
        <w:footnoteReference w:id="10"/>
      </w:r>
      <w:r w:rsidRPr="30615883">
        <w:rPr>
          <w:rFonts w:ascii="Arial" w:eastAsia="Arial" w:hAnsi="Arial" w:cs="Arial"/>
        </w:rPr>
        <w:t xml:space="preserve">, and virtual learning. </w:t>
      </w:r>
    </w:p>
    <w:p w14:paraId="452E81D3" w14:textId="77777777" w:rsidR="00707DD2" w:rsidRPr="00707DD2" w:rsidRDefault="00707DD2" w:rsidP="30615883">
      <w:pPr>
        <w:spacing w:line="259" w:lineRule="auto"/>
        <w:jc w:val="both"/>
        <w:rPr>
          <w:rFonts w:ascii="Arial" w:eastAsia="Arial" w:hAnsi="Arial" w:cs="Arial"/>
          <w:b/>
          <w:bCs/>
        </w:rPr>
      </w:pPr>
      <w:r w:rsidRPr="30615883">
        <w:rPr>
          <w:rFonts w:ascii="Arial" w:eastAsia="Arial" w:hAnsi="Arial" w:cs="Arial"/>
        </w:rPr>
        <w:t xml:space="preserve"> </w:t>
      </w:r>
    </w:p>
    <w:p w14:paraId="24374CF4" w14:textId="77777777" w:rsidR="00707DD2" w:rsidRPr="00FB0813" w:rsidRDefault="00707DD2" w:rsidP="30615883">
      <w:pPr>
        <w:pStyle w:val="Heading2"/>
        <w:ind w:left="-5"/>
        <w:jc w:val="both"/>
        <w:rPr>
          <w:rFonts w:ascii="Arial" w:eastAsia="Arial" w:hAnsi="Arial" w:cs="Arial"/>
          <w:sz w:val="24"/>
          <w:szCs w:val="24"/>
        </w:rPr>
      </w:pPr>
      <w:bookmarkStart w:id="4" w:name="_2zbgiuw"/>
      <w:bookmarkEnd w:id="4"/>
      <w:r w:rsidRPr="30615883">
        <w:rPr>
          <w:rFonts w:ascii="Arial" w:eastAsia="Arial" w:hAnsi="Arial" w:cs="Arial"/>
          <w:sz w:val="24"/>
          <w:szCs w:val="24"/>
        </w:rPr>
        <w:t xml:space="preserve">(F) Enables an individual to attain a secondary school diploma or its recognized equivalent, and at least one recognized postsecondary credential;  </w:t>
      </w:r>
    </w:p>
    <w:p w14:paraId="788FE32F" w14:textId="77777777" w:rsidR="00707DD2" w:rsidRPr="00707DD2" w:rsidRDefault="00707DD2" w:rsidP="30615883">
      <w:pPr>
        <w:spacing w:line="259" w:lineRule="auto"/>
        <w:jc w:val="both"/>
        <w:rPr>
          <w:rFonts w:ascii="Arial" w:eastAsia="Arial" w:hAnsi="Arial" w:cs="Arial"/>
          <w:b/>
          <w:bCs/>
        </w:rPr>
      </w:pPr>
      <w:r w:rsidRPr="30615883">
        <w:rPr>
          <w:rFonts w:ascii="Arial" w:eastAsia="Arial" w:hAnsi="Arial" w:cs="Arial"/>
        </w:rPr>
        <w:t xml:space="preserve"> </w:t>
      </w:r>
    </w:p>
    <w:p w14:paraId="430B8B45" w14:textId="77777777" w:rsidR="00707DD2" w:rsidRPr="00707DD2" w:rsidRDefault="00707DD2" w:rsidP="30615883">
      <w:pPr>
        <w:ind w:right="40" w:firstLine="10"/>
        <w:jc w:val="both"/>
        <w:rPr>
          <w:rFonts w:ascii="Arial" w:eastAsia="Arial" w:hAnsi="Arial" w:cs="Arial"/>
          <w:b/>
          <w:bCs/>
        </w:rPr>
      </w:pPr>
      <w:r w:rsidRPr="30615883">
        <w:rPr>
          <w:rFonts w:ascii="Arial" w:eastAsia="Arial" w:hAnsi="Arial" w:cs="Arial"/>
        </w:rPr>
        <w:t xml:space="preserve">Career pathways should: </w:t>
      </w:r>
    </w:p>
    <w:p w14:paraId="2CEAA006" w14:textId="77777777" w:rsidR="00707DD2" w:rsidRPr="00707DD2" w:rsidRDefault="00707DD2" w:rsidP="30615883">
      <w:pPr>
        <w:numPr>
          <w:ilvl w:val="0"/>
          <w:numId w:val="2"/>
        </w:numPr>
        <w:spacing w:after="58" w:line="248" w:lineRule="auto"/>
        <w:ind w:right="40"/>
        <w:jc w:val="both"/>
        <w:rPr>
          <w:rFonts w:ascii="Arial" w:eastAsia="Arial" w:hAnsi="Arial" w:cs="Arial"/>
        </w:rPr>
      </w:pPr>
      <w:r w:rsidRPr="30615883">
        <w:rPr>
          <w:rFonts w:ascii="Arial" w:eastAsia="Arial" w:hAnsi="Arial" w:cs="Arial"/>
        </w:rPr>
        <w:t>Create partnerships between programs that serve youth and adults of all skill levels to ensure that participants can, in time, earn a recognized postsecondary credential</w:t>
      </w:r>
      <w:r w:rsidRPr="30615883">
        <w:rPr>
          <w:rFonts w:ascii="Arial" w:eastAsia="Arial" w:hAnsi="Arial" w:cs="Arial"/>
          <w:vertAlign w:val="superscript"/>
        </w:rPr>
        <w:footnoteReference w:id="11"/>
      </w:r>
      <w:r w:rsidRPr="30615883">
        <w:rPr>
          <w:rFonts w:ascii="Arial" w:eastAsia="Arial" w:hAnsi="Arial" w:cs="Arial"/>
        </w:rPr>
        <w:t xml:space="preserve">, as desired. </w:t>
      </w:r>
    </w:p>
    <w:p w14:paraId="4009C45F" w14:textId="77777777" w:rsidR="00707DD2" w:rsidRPr="00707DD2" w:rsidRDefault="00707DD2" w:rsidP="30615883">
      <w:pPr>
        <w:numPr>
          <w:ilvl w:val="0"/>
          <w:numId w:val="2"/>
        </w:numPr>
        <w:spacing w:after="5" w:line="248" w:lineRule="auto"/>
        <w:ind w:right="40"/>
        <w:jc w:val="both"/>
        <w:rPr>
          <w:rFonts w:ascii="Arial" w:eastAsia="Arial" w:hAnsi="Arial" w:cs="Arial"/>
        </w:rPr>
      </w:pPr>
      <w:r w:rsidRPr="30615883">
        <w:rPr>
          <w:rFonts w:ascii="Arial" w:eastAsia="Arial" w:hAnsi="Arial" w:cs="Arial"/>
        </w:rPr>
        <w:t xml:space="preserve">Enable participants to gain entry to or advance within a given sector or occupational cluster, facilitate efficient transitions to continuing education, and incorporate stackable and portable industry-recognized credentials. </w:t>
      </w:r>
    </w:p>
    <w:p w14:paraId="51BF4135" w14:textId="77777777" w:rsidR="00707DD2" w:rsidRPr="00707DD2" w:rsidRDefault="00707DD2" w:rsidP="30615883">
      <w:pPr>
        <w:numPr>
          <w:ilvl w:val="0"/>
          <w:numId w:val="2"/>
        </w:numPr>
        <w:spacing w:line="248" w:lineRule="auto"/>
        <w:ind w:right="40"/>
        <w:jc w:val="both"/>
        <w:rPr>
          <w:rFonts w:ascii="Arial" w:eastAsia="Arial" w:hAnsi="Arial" w:cs="Arial"/>
        </w:rPr>
      </w:pPr>
      <w:r w:rsidRPr="30615883">
        <w:rPr>
          <w:rFonts w:ascii="Arial" w:eastAsia="Arial" w:hAnsi="Arial" w:cs="Arial"/>
        </w:rPr>
        <w:t>Facilitate co-enrollment in programs administered by the core</w:t>
      </w:r>
      <w:r w:rsidRPr="30615883">
        <w:rPr>
          <w:rFonts w:ascii="Arial" w:eastAsia="Arial" w:hAnsi="Arial" w:cs="Arial"/>
          <w:vertAlign w:val="superscript"/>
        </w:rPr>
        <w:footnoteReference w:id="12"/>
      </w:r>
      <w:r w:rsidRPr="30615883">
        <w:rPr>
          <w:rFonts w:ascii="Arial" w:eastAsia="Arial" w:hAnsi="Arial" w:cs="Arial"/>
        </w:rPr>
        <w:t xml:space="preserve"> and required</w:t>
      </w:r>
      <w:r w:rsidRPr="30615883">
        <w:rPr>
          <w:rFonts w:ascii="Arial" w:eastAsia="Arial" w:hAnsi="Arial" w:cs="Arial"/>
          <w:vertAlign w:val="superscript"/>
        </w:rPr>
        <w:footnoteReference w:id="13"/>
      </w:r>
      <w:r w:rsidRPr="30615883">
        <w:rPr>
          <w:rFonts w:ascii="Arial" w:eastAsia="Arial" w:hAnsi="Arial" w:cs="Arial"/>
        </w:rPr>
        <w:t xml:space="preserve"> partners (as defined by WIOA), in addition to Supplemental Nutrition Assistance Program Employment &amp; Training (SNAP E&amp;T). </w:t>
      </w:r>
    </w:p>
    <w:p w14:paraId="31358025" w14:textId="77777777" w:rsidR="00707DD2" w:rsidRPr="00707DD2" w:rsidRDefault="00707DD2" w:rsidP="30615883">
      <w:pPr>
        <w:spacing w:line="259" w:lineRule="auto"/>
        <w:jc w:val="both"/>
        <w:rPr>
          <w:rFonts w:ascii="Arial" w:eastAsia="Arial" w:hAnsi="Arial" w:cs="Arial"/>
          <w:b/>
          <w:bCs/>
        </w:rPr>
      </w:pPr>
      <w:r w:rsidRPr="30615883">
        <w:rPr>
          <w:rFonts w:ascii="Arial" w:eastAsia="Arial" w:hAnsi="Arial" w:cs="Arial"/>
        </w:rPr>
        <w:t xml:space="preserve"> </w:t>
      </w:r>
    </w:p>
    <w:p w14:paraId="4ECFC69F" w14:textId="6E18CD50" w:rsidR="00707DD2" w:rsidRPr="00FB0813" w:rsidRDefault="00707DD2" w:rsidP="30615883">
      <w:pPr>
        <w:ind w:left="-5"/>
        <w:jc w:val="both"/>
        <w:rPr>
          <w:rFonts w:ascii="Arial" w:eastAsia="Arial" w:hAnsi="Arial" w:cs="Arial"/>
          <w:b/>
          <w:bCs/>
        </w:rPr>
      </w:pPr>
      <w:r w:rsidRPr="30615883">
        <w:rPr>
          <w:rFonts w:ascii="Arial" w:eastAsia="Arial" w:hAnsi="Arial" w:cs="Arial"/>
          <w:b/>
          <w:bCs/>
        </w:rPr>
        <w:t xml:space="preserve">(G)  Helps an individual enter or advance within a specific occupation or occupational cluster. </w:t>
      </w:r>
    </w:p>
    <w:p w14:paraId="1403954F" w14:textId="77777777" w:rsidR="00707DD2" w:rsidRPr="00707DD2" w:rsidRDefault="00707DD2" w:rsidP="30615883">
      <w:pPr>
        <w:ind w:right="40" w:firstLine="10"/>
        <w:jc w:val="both"/>
        <w:rPr>
          <w:rFonts w:ascii="Arial" w:eastAsia="Arial" w:hAnsi="Arial" w:cs="Arial"/>
          <w:b/>
          <w:bCs/>
        </w:rPr>
      </w:pPr>
      <w:r w:rsidRPr="30615883">
        <w:rPr>
          <w:rFonts w:ascii="Arial" w:eastAsia="Arial" w:hAnsi="Arial" w:cs="Arial"/>
        </w:rPr>
        <w:t xml:space="preserve">Career pathways should: </w:t>
      </w:r>
    </w:p>
    <w:p w14:paraId="6883BF7A" w14:textId="77777777" w:rsidR="00707DD2" w:rsidRPr="00707DD2" w:rsidRDefault="00707DD2" w:rsidP="30615883">
      <w:pPr>
        <w:numPr>
          <w:ilvl w:val="0"/>
          <w:numId w:val="2"/>
        </w:numPr>
        <w:spacing w:after="58" w:line="248" w:lineRule="auto"/>
        <w:ind w:right="40"/>
        <w:jc w:val="both"/>
        <w:rPr>
          <w:rFonts w:ascii="Arial" w:eastAsia="Arial" w:hAnsi="Arial" w:cs="Arial"/>
        </w:rPr>
      </w:pPr>
      <w:r w:rsidRPr="30615883">
        <w:rPr>
          <w:rFonts w:ascii="Arial" w:eastAsia="Arial" w:hAnsi="Arial" w:cs="Arial"/>
        </w:rPr>
        <w:t>Involve partnerships with employers to support participants’ educational and career advancement through on-the-job training, customized training, corporate training, incumbent worker training</w:t>
      </w:r>
      <w:r w:rsidRPr="30615883">
        <w:rPr>
          <w:rFonts w:ascii="Arial" w:eastAsia="Arial" w:hAnsi="Arial" w:cs="Arial"/>
          <w:vertAlign w:val="superscript"/>
        </w:rPr>
        <w:footnoteReference w:id="14"/>
      </w:r>
      <w:r w:rsidRPr="30615883">
        <w:rPr>
          <w:rFonts w:ascii="Arial" w:eastAsia="Arial" w:hAnsi="Arial" w:cs="Arial"/>
        </w:rPr>
        <w:t xml:space="preserve">, and other work-based training strategies. </w:t>
      </w:r>
    </w:p>
    <w:p w14:paraId="2155ABF9" w14:textId="77777777" w:rsidR="00707DD2" w:rsidRPr="00707DD2" w:rsidRDefault="00707DD2" w:rsidP="30615883">
      <w:pPr>
        <w:numPr>
          <w:ilvl w:val="0"/>
          <w:numId w:val="2"/>
        </w:numPr>
        <w:spacing w:after="58" w:line="248" w:lineRule="auto"/>
        <w:ind w:right="40"/>
        <w:jc w:val="both"/>
        <w:rPr>
          <w:rFonts w:ascii="Arial" w:eastAsia="Arial" w:hAnsi="Arial" w:cs="Arial"/>
        </w:rPr>
      </w:pPr>
      <w:r w:rsidRPr="30615883">
        <w:rPr>
          <w:rFonts w:ascii="Arial" w:eastAsia="Arial" w:hAnsi="Arial" w:cs="Arial"/>
        </w:rPr>
        <w:t xml:space="preserve">Overcome barriers to entry to ensure that participants with diverse backgrounds and experience can enroll and succeed in a pathway. </w:t>
      </w:r>
    </w:p>
    <w:p w14:paraId="6EB34493" w14:textId="77777777" w:rsidR="00707DD2" w:rsidRPr="00707DD2" w:rsidRDefault="00707DD2" w:rsidP="30615883">
      <w:pPr>
        <w:spacing w:line="259" w:lineRule="auto"/>
        <w:rPr>
          <w:rFonts w:ascii="Arial" w:eastAsia="Arial" w:hAnsi="Arial" w:cs="Arial"/>
        </w:rPr>
      </w:pPr>
      <w:r w:rsidRPr="30615883">
        <w:rPr>
          <w:rFonts w:ascii="Arial" w:eastAsia="Arial" w:hAnsi="Arial" w:cs="Arial"/>
        </w:rPr>
        <w:t xml:space="preserve"> </w:t>
      </w:r>
    </w:p>
    <w:p w14:paraId="6E5AA26D" w14:textId="77777777" w:rsidR="00707DD2" w:rsidRPr="00707DD2" w:rsidRDefault="00707DD2" w:rsidP="30615883">
      <w:pPr>
        <w:spacing w:line="240" w:lineRule="auto"/>
        <w:ind w:right="43" w:firstLine="14"/>
        <w:jc w:val="both"/>
        <w:rPr>
          <w:rFonts w:ascii="Arial" w:eastAsia="Arial" w:hAnsi="Arial" w:cs="Arial"/>
          <w:b/>
          <w:bCs/>
        </w:rPr>
      </w:pPr>
      <w:r w:rsidRPr="30615883">
        <w:rPr>
          <w:rFonts w:ascii="Arial" w:eastAsia="Arial" w:hAnsi="Arial" w:cs="Arial"/>
        </w:rPr>
        <w:t xml:space="preserve">An effective and efficient career pathway will also commit to equity for all participants and potential participants and continuous improvement. To ensure that is possible, the system will: </w:t>
      </w:r>
    </w:p>
    <w:p w14:paraId="26162683" w14:textId="77777777" w:rsidR="00707DD2" w:rsidRPr="00707DD2" w:rsidRDefault="00707DD2" w:rsidP="30615883">
      <w:pPr>
        <w:numPr>
          <w:ilvl w:val="0"/>
          <w:numId w:val="3"/>
        </w:numPr>
        <w:spacing w:after="5" w:line="248" w:lineRule="auto"/>
        <w:ind w:right="40"/>
        <w:jc w:val="both"/>
        <w:rPr>
          <w:rFonts w:ascii="Arial" w:eastAsia="Arial" w:hAnsi="Arial" w:cs="Arial"/>
        </w:rPr>
      </w:pPr>
      <w:r w:rsidRPr="30615883">
        <w:rPr>
          <w:rFonts w:ascii="Arial" w:eastAsia="Arial" w:hAnsi="Arial" w:cs="Arial"/>
        </w:rPr>
        <w:t xml:space="preserve">Collect, share, and use evidence to identify and eliminate barriers to participant access and success. </w:t>
      </w:r>
    </w:p>
    <w:p w14:paraId="3AD02D42" w14:textId="77777777" w:rsidR="00707DD2" w:rsidRPr="00707DD2" w:rsidRDefault="00707DD2" w:rsidP="30615883">
      <w:pPr>
        <w:numPr>
          <w:ilvl w:val="0"/>
          <w:numId w:val="3"/>
        </w:numPr>
        <w:spacing w:after="5" w:line="248" w:lineRule="auto"/>
        <w:ind w:right="40"/>
        <w:jc w:val="both"/>
        <w:rPr>
          <w:rFonts w:ascii="Arial" w:eastAsia="Arial" w:hAnsi="Arial" w:cs="Arial"/>
        </w:rPr>
      </w:pPr>
      <w:r w:rsidRPr="30615883">
        <w:rPr>
          <w:rFonts w:ascii="Arial" w:eastAsia="Arial" w:hAnsi="Arial" w:cs="Arial"/>
        </w:rPr>
        <w:t xml:space="preserve">Include shared qualitative and quantitative evaluation of participant outcomes, with a focus on equity of access and services across participant groups, to inform the improvement of all programs within the pathway as well as the pathway itself. </w:t>
      </w:r>
    </w:p>
    <w:p w14:paraId="5F650342" w14:textId="77777777" w:rsidR="00707DD2" w:rsidRPr="00707DD2" w:rsidRDefault="00707DD2" w:rsidP="30615883">
      <w:pPr>
        <w:numPr>
          <w:ilvl w:val="0"/>
          <w:numId w:val="3"/>
        </w:numPr>
        <w:spacing w:line="248" w:lineRule="auto"/>
        <w:ind w:right="40"/>
        <w:jc w:val="both"/>
        <w:rPr>
          <w:rFonts w:ascii="Arial" w:eastAsia="Arial" w:hAnsi="Arial" w:cs="Arial"/>
        </w:rPr>
      </w:pPr>
      <w:r w:rsidRPr="30615883">
        <w:rPr>
          <w:rFonts w:ascii="Arial" w:eastAsia="Arial" w:hAnsi="Arial" w:cs="Arial"/>
        </w:rPr>
        <w:t xml:space="preserve">Disaggregate participant-level data to identify inequities in performance among participant groups and improve different participant groups’ outcomes. </w:t>
      </w:r>
    </w:p>
    <w:p w14:paraId="413AE35A" w14:textId="77777777" w:rsidR="00707DD2" w:rsidRPr="00707DD2" w:rsidRDefault="00707DD2" w:rsidP="30615883">
      <w:pPr>
        <w:numPr>
          <w:ilvl w:val="0"/>
          <w:numId w:val="3"/>
        </w:numPr>
        <w:spacing w:line="248" w:lineRule="auto"/>
        <w:ind w:right="40"/>
        <w:jc w:val="both"/>
        <w:rPr>
          <w:rFonts w:ascii="Arial" w:eastAsia="Arial" w:hAnsi="Arial" w:cs="Arial"/>
        </w:rPr>
      </w:pPr>
      <w:r w:rsidRPr="30615883">
        <w:rPr>
          <w:rFonts w:ascii="Arial" w:eastAsia="Arial" w:hAnsi="Arial" w:cs="Arial"/>
        </w:rPr>
        <w:t xml:space="preserve">Include shared qualitative and quantitative evaluation of effectiveness in serving employers (the business community) to inform strategies for improvement. </w:t>
      </w:r>
    </w:p>
    <w:p w14:paraId="0B30CE83" w14:textId="77777777" w:rsidR="00707DD2" w:rsidRPr="00707DD2" w:rsidRDefault="00707DD2" w:rsidP="30615883">
      <w:pPr>
        <w:spacing w:line="259" w:lineRule="auto"/>
        <w:ind w:left="360"/>
        <w:jc w:val="both"/>
        <w:rPr>
          <w:rFonts w:ascii="Arial" w:eastAsia="Arial" w:hAnsi="Arial" w:cs="Arial"/>
          <w:b/>
          <w:bCs/>
        </w:rPr>
      </w:pPr>
      <w:r w:rsidRPr="30615883">
        <w:rPr>
          <w:rFonts w:ascii="Arial" w:eastAsia="Arial" w:hAnsi="Arial" w:cs="Arial"/>
        </w:rPr>
        <w:t xml:space="preserve"> </w:t>
      </w:r>
    </w:p>
    <w:p w14:paraId="6A6F30C2" w14:textId="77777777" w:rsidR="00707DD2" w:rsidRPr="00707DD2" w:rsidRDefault="00707DD2" w:rsidP="30615883">
      <w:pPr>
        <w:spacing w:line="259" w:lineRule="auto"/>
        <w:rPr>
          <w:rFonts w:ascii="Arial" w:eastAsia="Arial" w:hAnsi="Arial" w:cs="Arial"/>
        </w:rPr>
        <w:sectPr w:rsidR="00707DD2" w:rsidRPr="00707DD2" w:rsidSect="00690B3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372" w:footer="719" w:gutter="0"/>
          <w:pgNumType w:start="1"/>
          <w:cols w:space="720"/>
          <w:docGrid w:linePitch="326"/>
        </w:sectPr>
      </w:pPr>
      <w:r w:rsidRPr="30615883">
        <w:rPr>
          <w:rFonts w:ascii="Arial" w:eastAsia="Arial" w:hAnsi="Arial" w:cs="Arial"/>
        </w:rPr>
        <w:t xml:space="preserve"> </w:t>
      </w:r>
      <w:r>
        <w:tab/>
      </w:r>
      <w:r w:rsidRPr="30615883">
        <w:rPr>
          <w:rFonts w:ascii="Arial" w:eastAsia="Arial" w:hAnsi="Arial" w:cs="Arial"/>
        </w:rPr>
        <w:t xml:space="preserve"> </w:t>
      </w:r>
    </w:p>
    <w:p w14:paraId="0A906F8D" w14:textId="1C8DF208" w:rsidR="00707DD2" w:rsidRDefault="007C3563" w:rsidP="00FB0813">
      <w:pPr>
        <w:spacing w:line="240" w:lineRule="auto"/>
        <w:rPr>
          <w:rFonts w:asciiTheme="minorHAnsi" w:hAnsiTheme="minorHAnsi" w:cstheme="minorHAnsi"/>
        </w:rPr>
      </w:pPr>
      <w:r>
        <w:rPr>
          <w:rFonts w:asciiTheme="minorHAnsi" w:hAnsiTheme="minorHAnsi" w:cstheme="minorHAnsi"/>
        </w:rPr>
        <w:t>CAREER PATHWAY- The term “career pathway” means a combination of rigorous and high-quality education, training, other services that-</w:t>
      </w:r>
    </w:p>
    <w:p w14:paraId="7C1C75D6" w14:textId="3C0A1B4A" w:rsidR="007C3563" w:rsidRDefault="007C3563" w:rsidP="00FB0813">
      <w:pPr>
        <w:pStyle w:val="ListParagraph"/>
        <w:numPr>
          <w:ilvl w:val="0"/>
          <w:numId w:val="6"/>
        </w:numPr>
        <w:spacing w:line="240" w:lineRule="auto"/>
        <w:rPr>
          <w:rFonts w:asciiTheme="minorHAnsi" w:hAnsiTheme="minorHAnsi" w:cstheme="minorHAnsi"/>
        </w:rPr>
      </w:pPr>
      <w:r>
        <w:rPr>
          <w:rFonts w:asciiTheme="minorHAnsi" w:hAnsiTheme="minorHAnsi" w:cstheme="minorHAnsi"/>
          <w:b/>
          <w:bCs/>
        </w:rPr>
        <w:t>Aligns with the skills needs of industries</w:t>
      </w:r>
      <w:r>
        <w:rPr>
          <w:rFonts w:asciiTheme="minorHAnsi" w:hAnsiTheme="minorHAnsi" w:cstheme="minorHAnsi"/>
        </w:rPr>
        <w:t xml:space="preserve"> in the economy of the State and regional economy involved;</w:t>
      </w:r>
    </w:p>
    <w:p w14:paraId="6AC5C590" w14:textId="6A80BB64" w:rsidR="007C3563" w:rsidRDefault="007C3563" w:rsidP="00FB0813">
      <w:pPr>
        <w:pStyle w:val="ListParagraph"/>
        <w:numPr>
          <w:ilvl w:val="0"/>
          <w:numId w:val="6"/>
        </w:numPr>
        <w:spacing w:line="240" w:lineRule="auto"/>
        <w:rPr>
          <w:rFonts w:asciiTheme="minorHAnsi" w:hAnsiTheme="minorHAnsi" w:cstheme="minorHAnsi"/>
        </w:rPr>
      </w:pPr>
      <w:r>
        <w:rPr>
          <w:rFonts w:asciiTheme="minorHAnsi" w:hAnsiTheme="minorHAnsi" w:cstheme="minorHAnsi"/>
          <w:b/>
          <w:bCs/>
        </w:rPr>
        <w:t>Prepares an individual to be successful</w:t>
      </w:r>
      <w:r>
        <w:rPr>
          <w:rFonts w:asciiTheme="minorHAnsi" w:hAnsiTheme="minorHAnsi" w:cstheme="minorHAnsi"/>
        </w:rPr>
        <w:t xml:space="preserve"> in any of a full range of </w:t>
      </w:r>
      <w:r>
        <w:rPr>
          <w:rFonts w:asciiTheme="minorHAnsi" w:hAnsiTheme="minorHAnsi" w:cstheme="minorHAnsi"/>
          <w:b/>
          <w:bCs/>
        </w:rPr>
        <w:t xml:space="preserve">secondary or postsecondary </w:t>
      </w:r>
      <w:r>
        <w:rPr>
          <w:rFonts w:asciiTheme="minorHAnsi" w:hAnsiTheme="minorHAnsi" w:cstheme="minorHAnsi"/>
        </w:rPr>
        <w:t xml:space="preserve">education options, </w:t>
      </w:r>
      <w:r>
        <w:rPr>
          <w:rFonts w:asciiTheme="minorHAnsi" w:hAnsiTheme="minorHAnsi" w:cstheme="minorHAnsi"/>
          <w:b/>
          <w:bCs/>
        </w:rPr>
        <w:t xml:space="preserve">including apprenticeships </w:t>
      </w:r>
      <w:r>
        <w:rPr>
          <w:rFonts w:asciiTheme="minorHAnsi" w:hAnsiTheme="minorHAnsi" w:cstheme="minorHAnsi"/>
        </w:rPr>
        <w:t>registered under the Act of August 16, 1937 (commonly known as the “National Apprenticeship Act”; 50 Stat. chapter 663; 29 U.S.C. 50 et seq.) (referred to individually in this Act as an “apprenticeship”, expect in section 171);</w:t>
      </w:r>
    </w:p>
    <w:p w14:paraId="67A1E11D" w14:textId="60C2989D" w:rsidR="007C3563" w:rsidRDefault="007C3563" w:rsidP="00FB0813">
      <w:pPr>
        <w:pStyle w:val="ListParagraph"/>
        <w:numPr>
          <w:ilvl w:val="0"/>
          <w:numId w:val="6"/>
        </w:numPr>
        <w:spacing w:line="240" w:lineRule="auto"/>
        <w:rPr>
          <w:rFonts w:asciiTheme="minorHAnsi" w:hAnsiTheme="minorHAnsi" w:cstheme="minorHAnsi"/>
        </w:rPr>
      </w:pPr>
      <w:r>
        <w:rPr>
          <w:rFonts w:asciiTheme="minorHAnsi" w:hAnsiTheme="minorHAnsi" w:cstheme="minorHAnsi"/>
          <w:b/>
          <w:bCs/>
        </w:rPr>
        <w:t xml:space="preserve">Includes counseling </w:t>
      </w:r>
      <w:r>
        <w:rPr>
          <w:rFonts w:asciiTheme="minorHAnsi" w:hAnsiTheme="minorHAnsi" w:cstheme="minorHAnsi"/>
        </w:rPr>
        <w:t>to support an individual in achieving the individual’s education and career goals;</w:t>
      </w:r>
    </w:p>
    <w:p w14:paraId="2465A204" w14:textId="269DCF7B" w:rsidR="007C3563" w:rsidRDefault="007C3563" w:rsidP="00FB0813">
      <w:pPr>
        <w:pStyle w:val="ListParagraph"/>
        <w:numPr>
          <w:ilvl w:val="0"/>
          <w:numId w:val="6"/>
        </w:numPr>
        <w:spacing w:line="240" w:lineRule="auto"/>
        <w:rPr>
          <w:rFonts w:asciiTheme="minorHAnsi" w:hAnsiTheme="minorHAnsi" w:cstheme="minorHAnsi"/>
        </w:rPr>
      </w:pPr>
      <w:r>
        <w:rPr>
          <w:rFonts w:asciiTheme="minorHAnsi" w:hAnsiTheme="minorHAnsi" w:cstheme="minorHAnsi"/>
        </w:rPr>
        <w:t xml:space="preserve">Includes, as appropriate, </w:t>
      </w:r>
      <w:r>
        <w:rPr>
          <w:rFonts w:asciiTheme="minorHAnsi" w:hAnsiTheme="minorHAnsi" w:cstheme="minorHAnsi"/>
          <w:b/>
          <w:bCs/>
        </w:rPr>
        <w:t>education offered concurrently with and in the same context as workforce preparation activities</w:t>
      </w:r>
      <w:r>
        <w:rPr>
          <w:rFonts w:asciiTheme="minorHAnsi" w:hAnsiTheme="minorHAnsi" w:cstheme="minorHAnsi"/>
        </w:rPr>
        <w:t xml:space="preserve"> and training for a specific occupation or occupational cluster;</w:t>
      </w:r>
    </w:p>
    <w:p w14:paraId="0F2D6187" w14:textId="450F3918" w:rsidR="007C3563" w:rsidRDefault="007C3563" w:rsidP="00FB0813">
      <w:pPr>
        <w:pStyle w:val="ListParagraph"/>
        <w:numPr>
          <w:ilvl w:val="0"/>
          <w:numId w:val="6"/>
        </w:numPr>
        <w:spacing w:line="240" w:lineRule="auto"/>
        <w:rPr>
          <w:rFonts w:asciiTheme="minorHAnsi" w:hAnsiTheme="minorHAnsi" w:cstheme="minorHAnsi"/>
        </w:rPr>
      </w:pPr>
      <w:r>
        <w:rPr>
          <w:rFonts w:asciiTheme="minorHAnsi" w:hAnsiTheme="minorHAnsi" w:cstheme="minorHAnsi"/>
          <w:b/>
          <w:bCs/>
        </w:rPr>
        <w:t xml:space="preserve">Organizes education, training, and other services to meet the </w:t>
      </w:r>
      <w:proofErr w:type="gramStart"/>
      <w:r>
        <w:rPr>
          <w:rFonts w:asciiTheme="minorHAnsi" w:hAnsiTheme="minorHAnsi" w:cstheme="minorHAnsi"/>
          <w:b/>
          <w:bCs/>
        </w:rPr>
        <w:t>particular needs</w:t>
      </w:r>
      <w:proofErr w:type="gramEnd"/>
      <w:r>
        <w:rPr>
          <w:rFonts w:asciiTheme="minorHAnsi" w:hAnsiTheme="minorHAnsi" w:cstheme="minorHAnsi"/>
          <w:b/>
          <w:bCs/>
        </w:rPr>
        <w:t xml:space="preserve"> of an individual in a manner that accelerates</w:t>
      </w:r>
      <w:r>
        <w:rPr>
          <w:rFonts w:asciiTheme="minorHAnsi" w:hAnsiTheme="minorHAnsi" w:cstheme="minorHAnsi"/>
        </w:rPr>
        <w:t xml:space="preserve"> the educational and career advancement of the individual to the extent practicable;</w:t>
      </w:r>
    </w:p>
    <w:p w14:paraId="740E1B57" w14:textId="154A0E53" w:rsidR="007C3563" w:rsidRDefault="007C3563" w:rsidP="00FB0813">
      <w:pPr>
        <w:pStyle w:val="ListParagraph"/>
        <w:numPr>
          <w:ilvl w:val="0"/>
          <w:numId w:val="6"/>
        </w:numPr>
        <w:spacing w:line="240" w:lineRule="auto"/>
        <w:rPr>
          <w:rFonts w:asciiTheme="minorHAnsi" w:hAnsiTheme="minorHAnsi" w:cstheme="minorHAnsi"/>
        </w:rPr>
      </w:pPr>
      <w:r>
        <w:rPr>
          <w:rFonts w:asciiTheme="minorHAnsi" w:hAnsiTheme="minorHAnsi" w:cstheme="minorHAnsi"/>
        </w:rPr>
        <w:t xml:space="preserve">Enables an individual to </w:t>
      </w:r>
      <w:r>
        <w:rPr>
          <w:rFonts w:asciiTheme="minorHAnsi" w:hAnsiTheme="minorHAnsi" w:cstheme="minorHAnsi"/>
          <w:b/>
          <w:bCs/>
        </w:rPr>
        <w:t xml:space="preserve">attain a secondary school diploma or its recognized equivalent, </w:t>
      </w:r>
      <w:r>
        <w:rPr>
          <w:rFonts w:asciiTheme="minorHAnsi" w:hAnsiTheme="minorHAnsi" w:cstheme="minorHAnsi"/>
        </w:rPr>
        <w:t xml:space="preserve">and at least </w:t>
      </w:r>
      <w:r>
        <w:rPr>
          <w:rFonts w:asciiTheme="minorHAnsi" w:hAnsiTheme="minorHAnsi" w:cstheme="minorHAnsi"/>
          <w:b/>
          <w:bCs/>
        </w:rPr>
        <w:t>one recognized postsecondary credential;</w:t>
      </w:r>
      <w:r>
        <w:rPr>
          <w:rFonts w:asciiTheme="minorHAnsi" w:hAnsiTheme="minorHAnsi" w:cstheme="minorHAnsi"/>
        </w:rPr>
        <w:t xml:space="preserve"> and</w:t>
      </w:r>
    </w:p>
    <w:p w14:paraId="55143DE6" w14:textId="562C638C" w:rsidR="007C3563" w:rsidRDefault="007C3563" w:rsidP="00FB0813">
      <w:pPr>
        <w:pStyle w:val="ListParagraph"/>
        <w:numPr>
          <w:ilvl w:val="0"/>
          <w:numId w:val="6"/>
        </w:numPr>
        <w:spacing w:line="240" w:lineRule="auto"/>
        <w:rPr>
          <w:rFonts w:asciiTheme="minorHAnsi" w:hAnsiTheme="minorHAnsi" w:cstheme="minorHAnsi"/>
        </w:rPr>
      </w:pPr>
      <w:r>
        <w:rPr>
          <w:rFonts w:asciiTheme="minorHAnsi" w:hAnsiTheme="minorHAnsi" w:cstheme="minorHAnsi"/>
          <w:b/>
          <w:bCs/>
        </w:rPr>
        <w:t>Helps an in</w:t>
      </w:r>
      <w:r w:rsidR="00493C15">
        <w:rPr>
          <w:rFonts w:asciiTheme="minorHAnsi" w:hAnsiTheme="minorHAnsi" w:cstheme="minorHAnsi"/>
          <w:b/>
          <w:bCs/>
        </w:rPr>
        <w:t>dividual enter or advance</w:t>
      </w:r>
      <w:r w:rsidR="00493C15">
        <w:rPr>
          <w:rFonts w:asciiTheme="minorHAnsi" w:hAnsiTheme="minorHAnsi" w:cstheme="minorHAnsi"/>
        </w:rPr>
        <w:t xml:space="preserve"> within a specific occupation or occupational cluster.</w:t>
      </w:r>
    </w:p>
    <w:p w14:paraId="7F798622" w14:textId="273C7F1D" w:rsidR="00493C15" w:rsidRDefault="00493C15" w:rsidP="00493C15">
      <w:pPr>
        <w:rPr>
          <w:rFonts w:asciiTheme="minorHAnsi" w:hAnsiTheme="minorHAnsi" w:cstheme="minorHAnsi"/>
        </w:rPr>
      </w:pPr>
    </w:p>
    <w:p w14:paraId="56E54437" w14:textId="3248E877" w:rsidR="000845DC" w:rsidRPr="00FB0813" w:rsidRDefault="000845DC" w:rsidP="00FB0813">
      <w:pPr>
        <w:spacing w:line="240" w:lineRule="auto"/>
        <w:rPr>
          <w:rFonts w:asciiTheme="minorHAnsi" w:hAnsiTheme="minorHAnsi" w:cstheme="minorHAnsi"/>
        </w:rPr>
      </w:pPr>
      <w:r w:rsidRPr="00FB0813">
        <w:rPr>
          <w:rFonts w:asciiTheme="minorHAnsi" w:hAnsiTheme="minorHAnsi" w:cstheme="minorHAnsi"/>
        </w:rPr>
        <w:t>Three features of a quality career pathway:</w:t>
      </w:r>
    </w:p>
    <w:p w14:paraId="320AE16B" w14:textId="27218615" w:rsidR="000845DC" w:rsidRPr="00FB0813" w:rsidRDefault="000845DC" w:rsidP="00FB0813">
      <w:pPr>
        <w:pStyle w:val="ListParagraph"/>
        <w:numPr>
          <w:ilvl w:val="0"/>
          <w:numId w:val="7"/>
        </w:numPr>
        <w:spacing w:line="240" w:lineRule="auto"/>
        <w:rPr>
          <w:rFonts w:asciiTheme="minorHAnsi" w:hAnsiTheme="minorHAnsi" w:cstheme="minorHAnsi"/>
        </w:rPr>
      </w:pPr>
      <w:r w:rsidRPr="00FB0813">
        <w:rPr>
          <w:rFonts w:asciiTheme="minorHAnsi" w:hAnsiTheme="minorHAnsi" w:cstheme="minorHAnsi"/>
        </w:rPr>
        <w:t>Well-connected and transparent education, training, support services, and credentials within specific sector or cross-sector occupations (often delivered via multiple linked and aligned programs)</w:t>
      </w:r>
    </w:p>
    <w:p w14:paraId="5E7DFF6F" w14:textId="77777777" w:rsidR="00FB0813" w:rsidRPr="00FB0813" w:rsidRDefault="00FB0813" w:rsidP="00FB0813">
      <w:pPr>
        <w:pStyle w:val="ListParagraph"/>
        <w:numPr>
          <w:ilvl w:val="0"/>
          <w:numId w:val="7"/>
        </w:numPr>
        <w:spacing w:line="240" w:lineRule="auto"/>
        <w:rPr>
          <w:rFonts w:asciiTheme="minorHAnsi" w:eastAsia="Times New Roman" w:hAnsiTheme="minorHAnsi" w:cstheme="minorHAnsi"/>
        </w:rPr>
      </w:pPr>
      <w:r w:rsidRPr="00FB0813">
        <w:rPr>
          <w:rFonts w:asciiTheme="minorHAnsi" w:eastAsia="Times New Roman" w:hAnsiTheme="minorHAnsi" w:cstheme="minorHAnsi"/>
        </w:rPr>
        <w:t>Multiple entry points that enable well-prepared students, as well as targeted populations with limited education, skills, English and work experiences, to successfully enter the career pathway. Targeted populations served by career pathways may include adult education or other low-skilled adult students, English Language learners, offenders or ex-offenders, high school students, disconnected or “opportunity” youth, some former military personnel, un- or under-employed adults, or others</w:t>
      </w:r>
    </w:p>
    <w:p w14:paraId="1CC35384" w14:textId="77777777" w:rsidR="00FB0813" w:rsidRPr="00FB0813" w:rsidRDefault="00FB0813" w:rsidP="00FB0813">
      <w:pPr>
        <w:pStyle w:val="ListParagraph"/>
        <w:numPr>
          <w:ilvl w:val="0"/>
          <w:numId w:val="7"/>
        </w:numPr>
        <w:spacing w:line="240" w:lineRule="auto"/>
        <w:rPr>
          <w:rFonts w:asciiTheme="minorHAnsi" w:eastAsia="Times New Roman" w:hAnsiTheme="minorHAnsi" w:cstheme="minorHAnsi"/>
        </w:rPr>
      </w:pPr>
      <w:r w:rsidRPr="00FB0813">
        <w:rPr>
          <w:rFonts w:asciiTheme="minorHAnsi" w:eastAsia="Times New Roman" w:hAnsiTheme="minorHAnsi" w:cstheme="minorHAnsi"/>
        </w:rPr>
        <w:t>Multiple exit points at successively higher levels that lead to self- or family-supporting employment and are aligned with subsequent entry points.</w:t>
      </w:r>
    </w:p>
    <w:p w14:paraId="4C2193FE" w14:textId="28096B81" w:rsidR="000845DC" w:rsidRPr="00FB0813" w:rsidRDefault="000845DC" w:rsidP="00FB0813">
      <w:pPr>
        <w:pStyle w:val="ListParagraph"/>
        <w:spacing w:line="240" w:lineRule="auto"/>
        <w:rPr>
          <w:rFonts w:asciiTheme="minorHAnsi" w:hAnsiTheme="minorHAnsi" w:cstheme="minorHAnsi"/>
        </w:rPr>
      </w:pPr>
    </w:p>
    <w:p w14:paraId="5C5AEC40" w14:textId="17DFC8E3" w:rsidR="00FB0813" w:rsidRPr="00FB0813" w:rsidRDefault="00FB0813" w:rsidP="00FB0813">
      <w:pPr>
        <w:spacing w:line="240" w:lineRule="auto"/>
        <w:rPr>
          <w:rFonts w:asciiTheme="minorHAnsi" w:eastAsia="Times New Roman" w:hAnsiTheme="minorHAnsi" w:cstheme="minorHAnsi"/>
        </w:rPr>
      </w:pPr>
      <w:r w:rsidRPr="00FB0813">
        <w:rPr>
          <w:rFonts w:asciiTheme="minorHAnsi" w:eastAsia="Times New Roman" w:hAnsiTheme="minorHAnsi" w:cstheme="minorHAnsi"/>
        </w:rPr>
        <w:t>The 4 Essential Functions of a Quality Career Pathway</w:t>
      </w:r>
    </w:p>
    <w:p w14:paraId="7F06F83D" w14:textId="77777777" w:rsidR="00FB0813" w:rsidRPr="00FB0813" w:rsidRDefault="00FB0813" w:rsidP="00FB0813">
      <w:pPr>
        <w:spacing w:line="240" w:lineRule="auto"/>
        <w:rPr>
          <w:rFonts w:asciiTheme="minorHAnsi" w:eastAsia="Times New Roman" w:hAnsiTheme="minorHAnsi" w:cstheme="minorHAnsi"/>
        </w:rPr>
      </w:pPr>
      <w:r w:rsidRPr="00FB0813">
        <w:rPr>
          <w:rFonts w:asciiTheme="minorHAnsi" w:eastAsia="Times New Roman" w:hAnsiTheme="minorHAnsi" w:cstheme="minorHAnsi"/>
        </w:rPr>
        <w:t xml:space="preserve">1. Participant-focused education and training; </w:t>
      </w:r>
    </w:p>
    <w:p w14:paraId="2522ACB4" w14:textId="77777777" w:rsidR="00FB0813" w:rsidRPr="00FB0813" w:rsidRDefault="00FB0813" w:rsidP="00FB0813">
      <w:pPr>
        <w:spacing w:line="240" w:lineRule="auto"/>
        <w:rPr>
          <w:rFonts w:asciiTheme="minorHAnsi" w:eastAsia="Times New Roman" w:hAnsiTheme="minorHAnsi" w:cstheme="minorHAnsi"/>
        </w:rPr>
      </w:pPr>
      <w:r w:rsidRPr="00FB0813">
        <w:rPr>
          <w:rFonts w:asciiTheme="minorHAnsi" w:eastAsia="Times New Roman" w:hAnsiTheme="minorHAnsi" w:cstheme="minorHAnsi"/>
        </w:rPr>
        <w:t xml:space="preserve">2. Consistent and non-duplicative assessments of participants’ education, skills, and assets/ needs; </w:t>
      </w:r>
    </w:p>
    <w:p w14:paraId="74C7169D" w14:textId="1F519516" w:rsidR="00FB0813" w:rsidRPr="00FB0813" w:rsidRDefault="00FB0813" w:rsidP="00FB0813">
      <w:pPr>
        <w:spacing w:line="240" w:lineRule="auto"/>
        <w:rPr>
          <w:rFonts w:asciiTheme="minorHAnsi" w:eastAsia="Times New Roman" w:hAnsiTheme="minorHAnsi" w:cstheme="minorHAnsi"/>
        </w:rPr>
      </w:pPr>
      <w:r w:rsidRPr="00FB0813">
        <w:rPr>
          <w:rFonts w:asciiTheme="minorHAnsi" w:eastAsia="Times New Roman" w:hAnsiTheme="minorHAnsi" w:cstheme="minorHAnsi"/>
        </w:rPr>
        <w:t xml:space="preserve">3. Support services and career navigation assistance to facilitate transitions, and; </w:t>
      </w:r>
    </w:p>
    <w:p w14:paraId="12353532" w14:textId="11AA5820" w:rsidR="00FB0813" w:rsidRDefault="00FB0813" w:rsidP="00FB0813">
      <w:pPr>
        <w:spacing w:line="240" w:lineRule="auto"/>
        <w:rPr>
          <w:rFonts w:asciiTheme="minorHAnsi" w:eastAsia="Times New Roman" w:hAnsiTheme="minorHAnsi" w:cstheme="minorHAnsi"/>
        </w:rPr>
      </w:pPr>
      <w:r w:rsidRPr="00FB0813">
        <w:rPr>
          <w:rFonts w:asciiTheme="minorHAnsi" w:eastAsia="Times New Roman" w:hAnsiTheme="minorHAnsi" w:cstheme="minorHAnsi"/>
        </w:rPr>
        <w:t>4. Employment services and work experiences.</w:t>
      </w:r>
    </w:p>
    <w:p w14:paraId="4F038E54" w14:textId="56780A06" w:rsidR="00FB0813" w:rsidRDefault="00FB0813">
      <w:pPr>
        <w:rPr>
          <w:rFonts w:asciiTheme="minorHAnsi" w:eastAsia="Times New Roman" w:hAnsiTheme="minorHAnsi" w:cstheme="minorHAnsi"/>
        </w:rPr>
      </w:pPr>
      <w:r>
        <w:rPr>
          <w:rFonts w:asciiTheme="minorHAnsi" w:eastAsia="Times New Roman" w:hAnsiTheme="minorHAnsi" w:cstheme="minorHAnsi"/>
        </w:rPr>
        <w:br w:type="page"/>
      </w:r>
    </w:p>
    <w:p w14:paraId="56257C64" w14:textId="77777777" w:rsidR="00FB0813" w:rsidRPr="00FB0813" w:rsidRDefault="00FB0813" w:rsidP="00FB0813">
      <w:pPr>
        <w:spacing w:line="240" w:lineRule="auto"/>
        <w:rPr>
          <w:rFonts w:asciiTheme="minorHAnsi" w:eastAsia="Times New Roman" w:hAnsiTheme="minorHAnsi" w:cstheme="minorHAnsi"/>
        </w:rPr>
      </w:pPr>
    </w:p>
    <w:tbl>
      <w:tblPr>
        <w:tblStyle w:val="GridTable4-Accent5"/>
        <w:tblW w:w="0" w:type="auto"/>
        <w:tblLook w:val="04A0" w:firstRow="1" w:lastRow="0" w:firstColumn="1" w:lastColumn="0" w:noHBand="0" w:noVBand="1"/>
      </w:tblPr>
      <w:tblGrid>
        <w:gridCol w:w="3379"/>
        <w:gridCol w:w="400"/>
        <w:gridCol w:w="5571"/>
      </w:tblGrid>
      <w:tr w:rsidR="00FB0813" w14:paraId="52E002B5" w14:textId="77777777" w:rsidTr="734887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14:paraId="7359B0C9" w14:textId="77777777" w:rsidR="00FB0813" w:rsidRDefault="00FB0813" w:rsidP="007C1C85">
            <w:pPr>
              <w:rPr>
                <w:rFonts w:asciiTheme="minorHAnsi" w:hAnsiTheme="minorHAnsi" w:cstheme="minorHAnsi"/>
              </w:rPr>
            </w:pPr>
            <w:r>
              <w:rPr>
                <w:rFonts w:asciiTheme="minorHAnsi" w:hAnsiTheme="minorHAnsi" w:cstheme="minorHAnsi"/>
              </w:rPr>
              <w:t>Elements of Career Pathway Systems (DOL, HHS, DOE)</w:t>
            </w:r>
          </w:p>
        </w:tc>
      </w:tr>
      <w:tr w:rsidR="00FB0813" w14:paraId="7819EC59" w14:textId="77777777" w:rsidTr="734887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9" w:type="dxa"/>
          </w:tcPr>
          <w:p w14:paraId="76D4C4F9" w14:textId="77777777" w:rsidR="00FB0813" w:rsidRDefault="00FB0813" w:rsidP="007C1C85">
            <w:pPr>
              <w:rPr>
                <w:rFonts w:asciiTheme="minorHAnsi" w:hAnsiTheme="minorHAnsi" w:cstheme="minorHAnsi"/>
              </w:rPr>
            </w:pPr>
            <w:r>
              <w:rPr>
                <w:rFonts w:asciiTheme="minorHAnsi" w:hAnsiTheme="minorHAnsi" w:cstheme="minorHAnsi"/>
              </w:rPr>
              <w:t>ALIGNED</w:t>
            </w:r>
          </w:p>
        </w:tc>
        <w:tc>
          <w:tcPr>
            <w:tcW w:w="400" w:type="dxa"/>
          </w:tcPr>
          <w:p w14:paraId="5B9581E3" w14:textId="77777777" w:rsidR="00FB0813" w:rsidRPr="00DB64BE" w:rsidRDefault="00FB0813" w:rsidP="007C1C85">
            <w:pPr>
              <w:cnfStyle w:val="000000100000" w:firstRow="0" w:lastRow="0" w:firstColumn="0" w:lastColumn="0" w:oddVBand="0" w:evenVBand="0" w:oddHBand="1" w:evenHBand="0" w:firstRowFirstColumn="0" w:firstRowLastColumn="0" w:lastRowFirstColumn="0" w:lastRowLastColumn="0"/>
              <w:rPr>
                <w:rFonts w:ascii="Wingdings 2" w:hAnsi="Wingdings 2" w:cstheme="minorHAnsi"/>
                <w:b/>
                <w:bCs/>
              </w:rPr>
            </w:pPr>
            <w:r w:rsidRPr="00DB64BE">
              <w:rPr>
                <w:rFonts w:ascii="Wingdings 2" w:hAnsi="Wingdings 2" w:cstheme="minorHAnsi"/>
                <w:b/>
                <w:bCs/>
              </w:rPr>
              <w:t>P</w:t>
            </w:r>
          </w:p>
        </w:tc>
        <w:tc>
          <w:tcPr>
            <w:tcW w:w="5571" w:type="dxa"/>
          </w:tcPr>
          <w:p w14:paraId="11A4BE01" w14:textId="77777777" w:rsidR="00FB0813" w:rsidRDefault="00FB0813" w:rsidP="007C1C8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Secondary, Postsecondary, Workforce Systems including Adult Education</w:t>
            </w:r>
          </w:p>
        </w:tc>
      </w:tr>
      <w:tr w:rsidR="00FB0813" w14:paraId="661676BC" w14:textId="77777777" w:rsidTr="7348874A">
        <w:tc>
          <w:tcPr>
            <w:cnfStyle w:val="001000000000" w:firstRow="0" w:lastRow="0" w:firstColumn="1" w:lastColumn="0" w:oddVBand="0" w:evenVBand="0" w:oddHBand="0" w:evenHBand="0" w:firstRowFirstColumn="0" w:firstRowLastColumn="0" w:lastRowFirstColumn="0" w:lastRowLastColumn="0"/>
            <w:tcW w:w="3379" w:type="dxa"/>
          </w:tcPr>
          <w:p w14:paraId="158D172F" w14:textId="77777777" w:rsidR="00FB0813" w:rsidRDefault="00FB0813" w:rsidP="007C1C85">
            <w:pPr>
              <w:rPr>
                <w:rFonts w:asciiTheme="minorHAnsi" w:hAnsiTheme="minorHAnsi" w:cstheme="minorHAnsi"/>
              </w:rPr>
            </w:pPr>
            <w:r>
              <w:rPr>
                <w:rFonts w:asciiTheme="minorHAnsi" w:hAnsiTheme="minorHAnsi" w:cstheme="minorHAnsi"/>
              </w:rPr>
              <w:t>CONNECTED</w:t>
            </w:r>
          </w:p>
        </w:tc>
        <w:tc>
          <w:tcPr>
            <w:tcW w:w="400" w:type="dxa"/>
          </w:tcPr>
          <w:p w14:paraId="60BF1B7F" w14:textId="3DB5AD21" w:rsidR="00FB0813" w:rsidRPr="00DB64BE" w:rsidRDefault="59CF6DFA" w:rsidP="7348874A">
            <w:pPr>
              <w:cnfStyle w:val="000000000000" w:firstRow="0" w:lastRow="0" w:firstColumn="0" w:lastColumn="0" w:oddVBand="0" w:evenVBand="0" w:oddHBand="0" w:evenHBand="0" w:firstRowFirstColumn="0" w:firstRowLastColumn="0" w:lastRowFirstColumn="0" w:lastRowLastColumn="0"/>
              <w:rPr>
                <w:rFonts w:ascii="Wingdings 2" w:hAnsi="Wingdings 2" w:cstheme="minorBidi"/>
                <w:b/>
                <w:bCs/>
              </w:rPr>
            </w:pPr>
            <w:r w:rsidRPr="7348874A">
              <w:rPr>
                <w:rFonts w:ascii="Wingdings 2" w:hAnsi="Wingdings 2" w:cstheme="minorBidi"/>
                <w:b/>
                <w:bCs/>
              </w:rPr>
              <w:t>P</w:t>
            </w:r>
          </w:p>
        </w:tc>
        <w:tc>
          <w:tcPr>
            <w:tcW w:w="5571" w:type="dxa"/>
          </w:tcPr>
          <w:p w14:paraId="1E8EC489" w14:textId="77777777" w:rsidR="00FB0813" w:rsidRDefault="00FB0813" w:rsidP="007C1C8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Rigorous, sequential, connected, and efficient coursework that links basic education and skills training and integrates education and training</w:t>
            </w:r>
          </w:p>
        </w:tc>
      </w:tr>
      <w:tr w:rsidR="00FB0813" w14:paraId="059B9B09" w14:textId="77777777" w:rsidTr="734887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9" w:type="dxa"/>
          </w:tcPr>
          <w:p w14:paraId="06D608A1" w14:textId="77777777" w:rsidR="00FB0813" w:rsidRDefault="00FB0813" w:rsidP="007C1C85">
            <w:pPr>
              <w:rPr>
                <w:rFonts w:asciiTheme="minorHAnsi" w:hAnsiTheme="minorHAnsi" w:cstheme="minorHAnsi"/>
              </w:rPr>
            </w:pPr>
            <w:r>
              <w:rPr>
                <w:rFonts w:asciiTheme="minorHAnsi" w:hAnsiTheme="minorHAnsi" w:cstheme="minorHAnsi"/>
              </w:rPr>
              <w:t>FLEXIBLE</w:t>
            </w:r>
          </w:p>
        </w:tc>
        <w:tc>
          <w:tcPr>
            <w:tcW w:w="400" w:type="dxa"/>
          </w:tcPr>
          <w:p w14:paraId="5C15C567" w14:textId="45D0F26D" w:rsidR="00FB0813" w:rsidRPr="00DB64BE" w:rsidRDefault="00FB0813" w:rsidP="7348874A">
            <w:pPr>
              <w:cnfStyle w:val="000000100000" w:firstRow="0" w:lastRow="0" w:firstColumn="0" w:lastColumn="0" w:oddVBand="0" w:evenVBand="0" w:oddHBand="1" w:evenHBand="0" w:firstRowFirstColumn="0" w:firstRowLastColumn="0" w:lastRowFirstColumn="0" w:lastRowLastColumn="0"/>
              <w:rPr>
                <w:rFonts w:ascii="Wingdings 2" w:hAnsi="Wingdings 2" w:cstheme="minorBidi"/>
                <w:b/>
                <w:bCs/>
              </w:rPr>
            </w:pPr>
          </w:p>
        </w:tc>
        <w:tc>
          <w:tcPr>
            <w:tcW w:w="5571" w:type="dxa"/>
          </w:tcPr>
          <w:p w14:paraId="4A42F41B" w14:textId="77777777" w:rsidR="00FB0813" w:rsidRDefault="00FB0813" w:rsidP="007C1C8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Multiple entry and exit points</w:t>
            </w:r>
          </w:p>
        </w:tc>
      </w:tr>
      <w:tr w:rsidR="00FB0813" w14:paraId="382FFB59" w14:textId="77777777" w:rsidTr="7348874A">
        <w:tc>
          <w:tcPr>
            <w:cnfStyle w:val="001000000000" w:firstRow="0" w:lastRow="0" w:firstColumn="1" w:lastColumn="0" w:oddVBand="0" w:evenVBand="0" w:oddHBand="0" w:evenHBand="0" w:firstRowFirstColumn="0" w:firstRowLastColumn="0" w:lastRowFirstColumn="0" w:lastRowLastColumn="0"/>
            <w:tcW w:w="3379" w:type="dxa"/>
          </w:tcPr>
          <w:p w14:paraId="3D9758F9" w14:textId="77777777" w:rsidR="00FB0813" w:rsidRDefault="00FB0813" w:rsidP="007C1C85">
            <w:pPr>
              <w:rPr>
                <w:rFonts w:asciiTheme="minorHAnsi" w:hAnsiTheme="minorHAnsi" w:cstheme="minorHAnsi"/>
              </w:rPr>
            </w:pPr>
            <w:r>
              <w:rPr>
                <w:rFonts w:asciiTheme="minorHAnsi" w:hAnsiTheme="minorHAnsi" w:cstheme="minorHAnsi"/>
              </w:rPr>
              <w:t>SUPPORTIVE</w:t>
            </w:r>
          </w:p>
        </w:tc>
        <w:tc>
          <w:tcPr>
            <w:tcW w:w="400" w:type="dxa"/>
          </w:tcPr>
          <w:p w14:paraId="6DE67D4A" w14:textId="28C48305" w:rsidR="00FB0813" w:rsidRPr="00DB64BE" w:rsidRDefault="00FB0813" w:rsidP="7348874A">
            <w:pPr>
              <w:cnfStyle w:val="000000000000" w:firstRow="0" w:lastRow="0" w:firstColumn="0" w:lastColumn="0" w:oddVBand="0" w:evenVBand="0" w:oddHBand="0" w:evenHBand="0" w:firstRowFirstColumn="0" w:firstRowLastColumn="0" w:lastRowFirstColumn="0" w:lastRowLastColumn="0"/>
              <w:rPr>
                <w:rFonts w:ascii="Wingdings 2" w:hAnsi="Wingdings 2" w:cstheme="minorBidi"/>
                <w:b/>
                <w:bCs/>
              </w:rPr>
            </w:pPr>
          </w:p>
        </w:tc>
        <w:tc>
          <w:tcPr>
            <w:tcW w:w="5571" w:type="dxa"/>
          </w:tcPr>
          <w:p w14:paraId="3E61682F" w14:textId="77777777" w:rsidR="00FB0813" w:rsidRDefault="00FB0813" w:rsidP="007C1C8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Comprehensive support services, such as career counseling, childcare, and transportation</w:t>
            </w:r>
          </w:p>
          <w:p w14:paraId="39E6A6EB" w14:textId="77777777" w:rsidR="00FB0813" w:rsidRDefault="00FB0813" w:rsidP="007C1C8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09E6906" w14:textId="77777777" w:rsidR="00FB0813" w:rsidRDefault="00FB0813" w:rsidP="007C1C8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Financial supports or flexibility to accommodate labor market demands </w:t>
            </w:r>
            <w:proofErr w:type="gramStart"/>
            <w:r>
              <w:rPr>
                <w:rFonts w:asciiTheme="minorHAnsi" w:hAnsiTheme="minorHAnsi" w:cstheme="minorHAnsi"/>
              </w:rPr>
              <w:t>in order to</w:t>
            </w:r>
            <w:proofErr w:type="gramEnd"/>
            <w:r>
              <w:rPr>
                <w:rFonts w:asciiTheme="minorHAnsi" w:hAnsiTheme="minorHAnsi" w:cstheme="minorHAnsi"/>
              </w:rPr>
              <w:t xml:space="preserve"> allow individuals to meet their ongoing financial needs and obligations </w:t>
            </w:r>
          </w:p>
        </w:tc>
      </w:tr>
      <w:tr w:rsidR="00FB0813" w14:paraId="16EDFEBE" w14:textId="77777777" w:rsidTr="734887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9" w:type="dxa"/>
          </w:tcPr>
          <w:p w14:paraId="23CA5BF4" w14:textId="77777777" w:rsidR="00FB0813" w:rsidRDefault="00FB0813" w:rsidP="007C1C85">
            <w:pPr>
              <w:rPr>
                <w:rFonts w:asciiTheme="minorHAnsi" w:hAnsiTheme="minorHAnsi" w:cstheme="minorHAnsi"/>
              </w:rPr>
            </w:pPr>
            <w:r>
              <w:rPr>
                <w:rFonts w:asciiTheme="minorHAnsi" w:hAnsiTheme="minorHAnsi" w:cstheme="minorHAnsi"/>
              </w:rPr>
              <w:t>ENGAGED WITH BUSINESS</w:t>
            </w:r>
          </w:p>
        </w:tc>
        <w:tc>
          <w:tcPr>
            <w:tcW w:w="400" w:type="dxa"/>
          </w:tcPr>
          <w:p w14:paraId="25365238" w14:textId="1FC8EDB9" w:rsidR="00FB0813" w:rsidRPr="00DB64BE" w:rsidRDefault="00FB0813" w:rsidP="7348874A">
            <w:pPr>
              <w:cnfStyle w:val="000000100000" w:firstRow="0" w:lastRow="0" w:firstColumn="0" w:lastColumn="0" w:oddVBand="0" w:evenVBand="0" w:oddHBand="1" w:evenHBand="0" w:firstRowFirstColumn="0" w:firstRowLastColumn="0" w:lastRowFirstColumn="0" w:lastRowLastColumn="0"/>
              <w:rPr>
                <w:rFonts w:ascii="Wingdings 2" w:hAnsi="Wingdings 2" w:cstheme="minorBidi"/>
                <w:b/>
                <w:bCs/>
              </w:rPr>
            </w:pPr>
          </w:p>
        </w:tc>
        <w:tc>
          <w:tcPr>
            <w:tcW w:w="5571" w:type="dxa"/>
          </w:tcPr>
          <w:p w14:paraId="2FFCF920" w14:textId="77777777" w:rsidR="00FB0813" w:rsidRDefault="00FB0813" w:rsidP="007C1C8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Active engagement of business in targeted industry sectors that are important to local, regional, and/or state economies</w:t>
            </w:r>
          </w:p>
        </w:tc>
      </w:tr>
      <w:tr w:rsidR="00FB0813" w14:paraId="43468452" w14:textId="77777777" w:rsidTr="7348874A">
        <w:tc>
          <w:tcPr>
            <w:cnfStyle w:val="001000000000" w:firstRow="0" w:lastRow="0" w:firstColumn="1" w:lastColumn="0" w:oddVBand="0" w:evenVBand="0" w:oddHBand="0" w:evenHBand="0" w:firstRowFirstColumn="0" w:firstRowLastColumn="0" w:lastRowFirstColumn="0" w:lastRowLastColumn="0"/>
            <w:tcW w:w="3379" w:type="dxa"/>
          </w:tcPr>
          <w:p w14:paraId="435288C1" w14:textId="77777777" w:rsidR="00FB0813" w:rsidRDefault="00FB0813" w:rsidP="007C1C85">
            <w:pPr>
              <w:rPr>
                <w:rFonts w:asciiTheme="minorHAnsi" w:hAnsiTheme="minorHAnsi" w:cstheme="minorHAnsi"/>
              </w:rPr>
            </w:pPr>
            <w:r>
              <w:rPr>
                <w:rFonts w:asciiTheme="minorHAnsi" w:hAnsiTheme="minorHAnsi" w:cstheme="minorHAnsi"/>
              </w:rPr>
              <w:t>CONTEXTUALIZED</w:t>
            </w:r>
          </w:p>
        </w:tc>
        <w:tc>
          <w:tcPr>
            <w:tcW w:w="400" w:type="dxa"/>
          </w:tcPr>
          <w:p w14:paraId="505523C3" w14:textId="62C02CBE" w:rsidR="00FB0813" w:rsidRPr="00DB64BE" w:rsidRDefault="00FB0813" w:rsidP="7348874A">
            <w:pPr>
              <w:cnfStyle w:val="000000000000" w:firstRow="0" w:lastRow="0" w:firstColumn="0" w:lastColumn="0" w:oddVBand="0" w:evenVBand="0" w:oddHBand="0" w:evenHBand="0" w:firstRowFirstColumn="0" w:firstRowLastColumn="0" w:lastRowFirstColumn="0" w:lastRowLastColumn="0"/>
              <w:rPr>
                <w:rFonts w:ascii="Wingdings 2" w:hAnsi="Wingdings 2" w:cstheme="minorBidi"/>
                <w:b/>
                <w:bCs/>
              </w:rPr>
            </w:pPr>
          </w:p>
        </w:tc>
        <w:tc>
          <w:tcPr>
            <w:tcW w:w="5571" w:type="dxa"/>
          </w:tcPr>
          <w:p w14:paraId="6D49CCE6" w14:textId="77777777" w:rsidR="00FB0813" w:rsidRDefault="00FB0813" w:rsidP="007C1C8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Curriculum and instructional strategies that make work a central context for learning and developing work readiness skills (i.e., contextualized learning)</w:t>
            </w:r>
          </w:p>
        </w:tc>
      </w:tr>
      <w:tr w:rsidR="00FB0813" w14:paraId="29851746" w14:textId="77777777" w:rsidTr="734887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9" w:type="dxa"/>
          </w:tcPr>
          <w:p w14:paraId="034F25DE" w14:textId="77777777" w:rsidR="00FB0813" w:rsidRDefault="00FB0813" w:rsidP="007C1C85">
            <w:pPr>
              <w:rPr>
                <w:rFonts w:asciiTheme="minorHAnsi" w:hAnsiTheme="minorHAnsi" w:cstheme="minorHAnsi"/>
              </w:rPr>
            </w:pPr>
            <w:r>
              <w:rPr>
                <w:rFonts w:asciiTheme="minorHAnsi" w:hAnsiTheme="minorHAnsi" w:cstheme="minorHAnsi"/>
              </w:rPr>
              <w:t>ACCELERATED</w:t>
            </w:r>
          </w:p>
        </w:tc>
        <w:tc>
          <w:tcPr>
            <w:tcW w:w="400" w:type="dxa"/>
          </w:tcPr>
          <w:p w14:paraId="0E6C7497" w14:textId="4F0D2A80" w:rsidR="00FB0813" w:rsidRPr="00DB64BE" w:rsidRDefault="00FB0813" w:rsidP="7348874A">
            <w:pPr>
              <w:cnfStyle w:val="000000100000" w:firstRow="0" w:lastRow="0" w:firstColumn="0" w:lastColumn="0" w:oddVBand="0" w:evenVBand="0" w:oddHBand="1" w:evenHBand="0" w:firstRowFirstColumn="0" w:firstRowLastColumn="0" w:lastRowFirstColumn="0" w:lastRowLastColumn="0"/>
              <w:rPr>
                <w:rFonts w:ascii="Wingdings 2" w:hAnsi="Wingdings 2" w:cstheme="minorBidi"/>
                <w:b/>
                <w:bCs/>
              </w:rPr>
            </w:pPr>
          </w:p>
        </w:tc>
        <w:tc>
          <w:tcPr>
            <w:tcW w:w="5571" w:type="dxa"/>
          </w:tcPr>
          <w:p w14:paraId="71C18E82" w14:textId="77777777" w:rsidR="00FB0813" w:rsidRDefault="00FB0813" w:rsidP="007C1C8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Implementation of strategies that accelerate the educational and career advancements of participants (e.g., credit for prior learning)</w:t>
            </w:r>
          </w:p>
        </w:tc>
      </w:tr>
      <w:tr w:rsidR="00FB0813" w14:paraId="4D08BA90" w14:textId="77777777" w:rsidTr="7348874A">
        <w:tc>
          <w:tcPr>
            <w:cnfStyle w:val="001000000000" w:firstRow="0" w:lastRow="0" w:firstColumn="1" w:lastColumn="0" w:oddVBand="0" w:evenVBand="0" w:oddHBand="0" w:evenHBand="0" w:firstRowFirstColumn="0" w:firstRowLastColumn="0" w:lastRowFirstColumn="0" w:lastRowLastColumn="0"/>
            <w:tcW w:w="3379" w:type="dxa"/>
          </w:tcPr>
          <w:p w14:paraId="71DAB09E" w14:textId="77777777" w:rsidR="00FB0813" w:rsidRDefault="00FB0813" w:rsidP="007C1C85">
            <w:pPr>
              <w:rPr>
                <w:rFonts w:asciiTheme="minorHAnsi" w:hAnsiTheme="minorHAnsi" w:cstheme="minorHAnsi"/>
              </w:rPr>
            </w:pPr>
            <w:r>
              <w:rPr>
                <w:rFonts w:asciiTheme="minorHAnsi" w:hAnsiTheme="minorHAnsi" w:cstheme="minorHAnsi"/>
              </w:rPr>
              <w:t>ACCOMODATING</w:t>
            </w:r>
          </w:p>
        </w:tc>
        <w:tc>
          <w:tcPr>
            <w:tcW w:w="400" w:type="dxa"/>
          </w:tcPr>
          <w:p w14:paraId="6DB69595" w14:textId="417BBBD8" w:rsidR="00FB0813" w:rsidRPr="00DB64BE" w:rsidRDefault="00FB0813" w:rsidP="7348874A">
            <w:pPr>
              <w:cnfStyle w:val="000000000000" w:firstRow="0" w:lastRow="0" w:firstColumn="0" w:lastColumn="0" w:oddVBand="0" w:evenVBand="0" w:oddHBand="0" w:evenHBand="0" w:firstRowFirstColumn="0" w:firstRowLastColumn="0" w:lastRowFirstColumn="0" w:lastRowLastColumn="0"/>
              <w:rPr>
                <w:rFonts w:ascii="Wingdings 2" w:hAnsi="Wingdings 2" w:cstheme="minorBidi"/>
                <w:b/>
                <w:bCs/>
              </w:rPr>
            </w:pPr>
          </w:p>
        </w:tc>
        <w:tc>
          <w:tcPr>
            <w:tcW w:w="5571" w:type="dxa"/>
          </w:tcPr>
          <w:p w14:paraId="10955C75" w14:textId="77777777" w:rsidR="00FB0813" w:rsidRDefault="00FB0813" w:rsidP="007C1C8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Organized services to meet the </w:t>
            </w:r>
            <w:proofErr w:type="gramStart"/>
            <w:r>
              <w:rPr>
                <w:rFonts w:asciiTheme="minorHAnsi" w:hAnsiTheme="minorHAnsi" w:cstheme="minorHAnsi"/>
              </w:rPr>
              <w:t>particular needs</w:t>
            </w:r>
            <w:proofErr w:type="gramEnd"/>
            <w:r>
              <w:rPr>
                <w:rFonts w:asciiTheme="minorHAnsi" w:hAnsiTheme="minorHAnsi" w:cstheme="minorHAnsi"/>
              </w:rPr>
              <w:t xml:space="preserve"> of adults (e.g., accommodating work schedules)</w:t>
            </w:r>
          </w:p>
        </w:tc>
      </w:tr>
      <w:tr w:rsidR="00FB0813" w14:paraId="70AC1320" w14:textId="77777777" w:rsidTr="734887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9" w:type="dxa"/>
          </w:tcPr>
          <w:p w14:paraId="62E9F9C8" w14:textId="77777777" w:rsidR="00FB0813" w:rsidRDefault="00FB0813" w:rsidP="007C1C85">
            <w:pPr>
              <w:rPr>
                <w:rFonts w:asciiTheme="minorHAnsi" w:hAnsiTheme="minorHAnsi" w:cstheme="minorHAnsi"/>
              </w:rPr>
            </w:pPr>
            <w:r>
              <w:rPr>
                <w:rFonts w:asciiTheme="minorHAnsi" w:hAnsiTheme="minorHAnsi" w:cstheme="minorHAnsi"/>
              </w:rPr>
              <w:t>SECTOR-FOCUSED</w:t>
            </w:r>
          </w:p>
        </w:tc>
        <w:tc>
          <w:tcPr>
            <w:tcW w:w="400" w:type="dxa"/>
          </w:tcPr>
          <w:p w14:paraId="452054D5" w14:textId="7120FC55" w:rsidR="00FB0813" w:rsidRPr="00DB64BE" w:rsidRDefault="00FB0813" w:rsidP="7348874A">
            <w:pPr>
              <w:cnfStyle w:val="000000100000" w:firstRow="0" w:lastRow="0" w:firstColumn="0" w:lastColumn="0" w:oddVBand="0" w:evenVBand="0" w:oddHBand="1" w:evenHBand="0" w:firstRowFirstColumn="0" w:firstRowLastColumn="0" w:lastRowFirstColumn="0" w:lastRowLastColumn="0"/>
              <w:rPr>
                <w:rFonts w:ascii="Wingdings 2" w:hAnsi="Wingdings 2" w:cstheme="minorBidi"/>
                <w:b/>
                <w:bCs/>
              </w:rPr>
            </w:pPr>
          </w:p>
        </w:tc>
        <w:tc>
          <w:tcPr>
            <w:tcW w:w="5571" w:type="dxa"/>
          </w:tcPr>
          <w:p w14:paraId="04634DCB" w14:textId="77777777" w:rsidR="00FB0813" w:rsidRDefault="00FB0813" w:rsidP="007C1C8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A focus on secondary and postsecondary industry-recognized credentials, sector-specific employment, and advancement over time in education and employment within that sector</w:t>
            </w:r>
          </w:p>
        </w:tc>
      </w:tr>
      <w:tr w:rsidR="00FB0813" w14:paraId="7006A2EC" w14:textId="77777777" w:rsidTr="7348874A">
        <w:tc>
          <w:tcPr>
            <w:cnfStyle w:val="001000000000" w:firstRow="0" w:lastRow="0" w:firstColumn="1" w:lastColumn="0" w:oddVBand="0" w:evenVBand="0" w:oddHBand="0" w:evenHBand="0" w:firstRowFirstColumn="0" w:firstRowLastColumn="0" w:lastRowFirstColumn="0" w:lastRowLastColumn="0"/>
            <w:tcW w:w="3379" w:type="dxa"/>
          </w:tcPr>
          <w:p w14:paraId="14669D2D" w14:textId="77777777" w:rsidR="00FB0813" w:rsidRDefault="00FB0813" w:rsidP="007C1C85">
            <w:pPr>
              <w:rPr>
                <w:rFonts w:asciiTheme="minorHAnsi" w:hAnsiTheme="minorHAnsi" w:cstheme="minorHAnsi"/>
              </w:rPr>
            </w:pPr>
            <w:r>
              <w:rPr>
                <w:rFonts w:asciiTheme="minorHAnsi" w:hAnsiTheme="minorHAnsi" w:cstheme="minorHAnsi"/>
              </w:rPr>
              <w:t>COLLABORATIVE</w:t>
            </w:r>
          </w:p>
        </w:tc>
        <w:tc>
          <w:tcPr>
            <w:tcW w:w="400" w:type="dxa"/>
          </w:tcPr>
          <w:p w14:paraId="3FA88636" w14:textId="280681F7" w:rsidR="00FB0813" w:rsidRPr="00DB64BE" w:rsidRDefault="00FB0813" w:rsidP="7348874A">
            <w:pPr>
              <w:cnfStyle w:val="000000000000" w:firstRow="0" w:lastRow="0" w:firstColumn="0" w:lastColumn="0" w:oddVBand="0" w:evenVBand="0" w:oddHBand="0" w:evenHBand="0" w:firstRowFirstColumn="0" w:firstRowLastColumn="0" w:lastRowFirstColumn="0" w:lastRowLastColumn="0"/>
              <w:rPr>
                <w:rFonts w:ascii="Wingdings 2" w:hAnsi="Wingdings 2" w:cstheme="minorBidi"/>
                <w:b/>
                <w:bCs/>
              </w:rPr>
            </w:pPr>
          </w:p>
        </w:tc>
        <w:tc>
          <w:tcPr>
            <w:tcW w:w="5571" w:type="dxa"/>
          </w:tcPr>
          <w:p w14:paraId="3F31AEAB" w14:textId="77777777" w:rsidR="00FB0813" w:rsidRDefault="00FB0813" w:rsidP="007C1C8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 collaborative partnership among workforce, education, human service agencies, business, and other community stakeholders to manage the system</w:t>
            </w:r>
          </w:p>
        </w:tc>
      </w:tr>
      <w:tr w:rsidR="00FB0813" w14:paraId="5DAB5A0C" w14:textId="77777777" w:rsidTr="734887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14:paraId="49A5188B" w14:textId="77777777" w:rsidR="00FB0813" w:rsidRDefault="00FB0813" w:rsidP="007C1C85">
            <w:pPr>
              <w:rPr>
                <w:rFonts w:asciiTheme="minorHAnsi" w:hAnsiTheme="minorHAnsi" w:cstheme="minorHAnsi"/>
              </w:rPr>
            </w:pPr>
            <w:r>
              <w:rPr>
                <w:rFonts w:asciiTheme="minorHAnsi" w:hAnsiTheme="minorHAnsi" w:cstheme="minorHAnsi"/>
              </w:rPr>
              <w:t xml:space="preserve">U.S. Department of Education, Office of Career, Technical, and Adult Education (2015, February). </w:t>
            </w:r>
          </w:p>
        </w:tc>
      </w:tr>
    </w:tbl>
    <w:p w14:paraId="0C6DF820" w14:textId="273AB4C2" w:rsidR="00FB0813" w:rsidRPr="000845DC" w:rsidRDefault="00FB0813" w:rsidP="00FB0813">
      <w:pPr>
        <w:pStyle w:val="ListParagraph"/>
        <w:rPr>
          <w:rFonts w:asciiTheme="minorHAnsi" w:hAnsiTheme="minorHAnsi" w:cstheme="minorHAnsi"/>
        </w:rPr>
      </w:pPr>
    </w:p>
    <w:sectPr w:rsidR="00FB0813" w:rsidRPr="000845DC" w:rsidSect="003359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E776F" w14:textId="77777777" w:rsidR="00377CF8" w:rsidRDefault="00377CF8" w:rsidP="00707DD2">
      <w:pPr>
        <w:spacing w:line="240" w:lineRule="auto"/>
      </w:pPr>
      <w:r>
        <w:separator/>
      </w:r>
    </w:p>
  </w:endnote>
  <w:endnote w:type="continuationSeparator" w:id="0">
    <w:p w14:paraId="52665474" w14:textId="77777777" w:rsidR="00377CF8" w:rsidRDefault="00377CF8" w:rsidP="00707D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Wingdings 2">
    <w:altName w:val="Times New Roman"/>
    <w:charset w:val="4D"/>
    <w:family w:val="decorative"/>
    <w:pitch w:val="variable"/>
    <w:sig w:usb0="00000001"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FC3E6" w14:textId="77777777" w:rsidR="00707DD2" w:rsidRDefault="00707DD2">
    <w:pPr>
      <w:spacing w:line="259" w:lineRule="auto"/>
      <w:ind w:right="2"/>
      <w:jc w:val="right"/>
    </w:pPr>
    <w:r>
      <w:fldChar w:fldCharType="begin"/>
    </w:r>
    <w:r>
      <w:instrText>PAGE</w:instrText>
    </w:r>
    <w:r>
      <w:fldChar w:fldCharType="separate"/>
    </w:r>
    <w:r>
      <w:rPr>
        <w:noProof/>
      </w:rPr>
      <w:t>2</w:t>
    </w:r>
    <w:r>
      <w:fldChar w:fldCharType="end"/>
    </w:r>
    <w:r>
      <w:t xml:space="preserve"> </w:t>
    </w:r>
  </w:p>
  <w:p w14:paraId="5F3B2D1D" w14:textId="77777777" w:rsidR="00707DD2" w:rsidRDefault="00707DD2">
    <w:pPr>
      <w:spacing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8E44A" w14:textId="77777777" w:rsidR="00707DD2" w:rsidRDefault="00707DD2">
    <w:pPr>
      <w:spacing w:line="259" w:lineRule="auto"/>
      <w:ind w:right="2"/>
      <w:jc w:val="right"/>
    </w:pPr>
    <w:r>
      <w:fldChar w:fldCharType="begin"/>
    </w:r>
    <w:r>
      <w:instrText>PAGE</w:instrText>
    </w:r>
    <w:r>
      <w:fldChar w:fldCharType="separate"/>
    </w:r>
    <w:r>
      <w:rPr>
        <w:noProof/>
      </w:rPr>
      <w:t>1</w:t>
    </w:r>
    <w:r>
      <w:fldChar w:fldCharType="end"/>
    </w:r>
    <w:r>
      <w:t xml:space="preserve"> </w:t>
    </w:r>
  </w:p>
  <w:p w14:paraId="40EAAA59" w14:textId="41F8809E" w:rsidR="00707DD2" w:rsidRDefault="00707DD2">
    <w:pPr>
      <w:spacing w:line="259" w:lineRule="auto"/>
    </w:pPr>
    <w:r>
      <w:t xml:space="preserve"> </w:t>
    </w:r>
    <w:r w:rsidR="007C1C85">
      <w:rPr>
        <w:rStyle w:val="normaltextrun"/>
        <w:rFonts w:ascii="Arial" w:hAnsi="Arial" w:cs="Arial"/>
        <w:sz w:val="20"/>
        <w:szCs w:val="20"/>
      </w:rPr>
      <w:t xml:space="preserve">Effective September 25, 2025, </w:t>
    </w:r>
    <w:r w:rsidR="007C1C85">
      <w:rPr>
        <w:rStyle w:val="normaltextrun"/>
        <w:rFonts w:ascii="Arial" w:hAnsi="Arial" w:cs="Arial"/>
        <w:sz w:val="20"/>
        <w:szCs w:val="20"/>
      </w:rPr>
      <w:t>JTEDv1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B57F2" w14:textId="77777777" w:rsidR="00707DD2" w:rsidRDefault="00707DD2">
    <w:pPr>
      <w:spacing w:line="259" w:lineRule="auto"/>
      <w:ind w:right="2"/>
      <w:jc w:val="right"/>
    </w:pPr>
    <w:r>
      <w:fldChar w:fldCharType="begin"/>
    </w:r>
    <w:r>
      <w:instrText>PAGE</w:instrText>
    </w:r>
    <w:r>
      <w:fldChar w:fldCharType="end"/>
    </w:r>
    <w:r>
      <w:t xml:space="preserve"> </w:t>
    </w:r>
  </w:p>
  <w:p w14:paraId="67D9A2A6" w14:textId="77777777" w:rsidR="00707DD2" w:rsidRDefault="00707DD2">
    <w:pPr>
      <w:spacing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9F29C" w14:textId="77777777" w:rsidR="00377CF8" w:rsidRDefault="00377CF8" w:rsidP="00707DD2">
      <w:pPr>
        <w:spacing w:line="240" w:lineRule="auto"/>
      </w:pPr>
      <w:r>
        <w:separator/>
      </w:r>
    </w:p>
  </w:footnote>
  <w:footnote w:type="continuationSeparator" w:id="0">
    <w:p w14:paraId="4FA9BC07" w14:textId="77777777" w:rsidR="00377CF8" w:rsidRDefault="00377CF8" w:rsidP="00707DD2">
      <w:pPr>
        <w:spacing w:line="240" w:lineRule="auto"/>
      </w:pPr>
      <w:r>
        <w:continuationSeparator/>
      </w:r>
    </w:p>
  </w:footnote>
  <w:footnote w:id="1">
    <w:p w14:paraId="09A92A59" w14:textId="77777777" w:rsidR="00707DD2" w:rsidRDefault="00707DD2" w:rsidP="00707DD2">
      <w:pPr>
        <w:pBdr>
          <w:top w:val="nil"/>
          <w:left w:val="nil"/>
          <w:bottom w:val="nil"/>
          <w:right w:val="nil"/>
          <w:between w:val="nil"/>
        </w:pBdr>
        <w:spacing w:after="7" w:line="260" w:lineRule="auto"/>
        <w:ind w:right="48"/>
        <w:jc w:val="both"/>
        <w:rPr>
          <w:rFonts w:eastAsia="Times New Roman" w:cs="Times New Roman"/>
          <w:b/>
          <w:color w:val="000000"/>
          <w:sz w:val="16"/>
          <w:szCs w:val="16"/>
        </w:rPr>
      </w:pPr>
      <w:r>
        <w:rPr>
          <w:vertAlign w:val="superscript"/>
        </w:rPr>
        <w:footnoteRef/>
      </w:r>
      <w:r>
        <w:rPr>
          <w:rFonts w:eastAsia="Times New Roman" w:cs="Times New Roman"/>
          <w:color w:val="000000"/>
          <w:sz w:val="16"/>
          <w:szCs w:val="16"/>
        </w:rPr>
        <w:t xml:space="preserve"> “Meaningful employer engagement” is the process by which State and/or local stakeholders (e.g. training providers, colleges, workforce boards) convene with local and regional industry employers to discuss the skill and credential needs of their workforce and ways in which education and training programs can best prepare individuals.  </w:t>
      </w:r>
    </w:p>
  </w:footnote>
  <w:footnote w:id="2">
    <w:p w14:paraId="39CA3E9F" w14:textId="77777777" w:rsidR="00707DD2" w:rsidRDefault="00707DD2" w:rsidP="00707DD2">
      <w:pPr>
        <w:pBdr>
          <w:top w:val="nil"/>
          <w:left w:val="nil"/>
          <w:bottom w:val="nil"/>
          <w:right w:val="nil"/>
          <w:between w:val="nil"/>
        </w:pBdr>
        <w:spacing w:after="161" w:line="259" w:lineRule="auto"/>
        <w:rPr>
          <w:rFonts w:eastAsia="Times New Roman" w:cs="Times New Roman"/>
          <w:b/>
          <w:color w:val="000000"/>
          <w:sz w:val="16"/>
          <w:szCs w:val="16"/>
        </w:rPr>
      </w:pPr>
      <w:r>
        <w:rPr>
          <w:vertAlign w:val="superscript"/>
        </w:rPr>
        <w:footnoteRef/>
      </w:r>
      <w:r>
        <w:rPr>
          <w:rFonts w:eastAsia="Times New Roman" w:cs="Times New Roman"/>
          <w:color w:val="000000"/>
          <w:sz w:val="16"/>
          <w:szCs w:val="16"/>
        </w:rPr>
        <w:t xml:space="preserve"> The Act of August 16, 1937 (commonly known as the ‘‘National Apprenticeship Act’’; 50 Stat. 664, chapter 663; 29 U.S.C. 50 et seq.). </w:t>
      </w:r>
    </w:p>
  </w:footnote>
  <w:footnote w:id="3">
    <w:p w14:paraId="1ED12CA2" w14:textId="77777777" w:rsidR="00707DD2" w:rsidRDefault="00707DD2" w:rsidP="00707DD2">
      <w:pPr>
        <w:pBdr>
          <w:top w:val="nil"/>
          <w:left w:val="nil"/>
          <w:bottom w:val="nil"/>
          <w:right w:val="nil"/>
          <w:between w:val="nil"/>
        </w:pBdr>
        <w:spacing w:after="42" w:line="258" w:lineRule="auto"/>
        <w:jc w:val="both"/>
        <w:rPr>
          <w:rFonts w:eastAsia="Times New Roman" w:cs="Times New Roman"/>
          <w:b/>
          <w:color w:val="000000"/>
          <w:sz w:val="16"/>
          <w:szCs w:val="16"/>
        </w:rPr>
      </w:pPr>
      <w:r>
        <w:rPr>
          <w:vertAlign w:val="superscript"/>
        </w:rPr>
        <w:footnoteRef/>
      </w:r>
      <w:r>
        <w:rPr>
          <w:rFonts w:eastAsia="Times New Roman" w:cs="Times New Roman"/>
          <w:color w:val="000000"/>
          <w:sz w:val="16"/>
          <w:szCs w:val="16"/>
        </w:rPr>
        <w:t xml:space="preserve"> A stackable credential is part of a sequence of credentials that can be accumulated over time and move an individual along a career pathway or up a career ladder. </w:t>
      </w:r>
    </w:p>
    <w:p w14:paraId="59AA18A5" w14:textId="77777777" w:rsidR="00707DD2" w:rsidRDefault="00707DD2" w:rsidP="00707DD2">
      <w:pPr>
        <w:pBdr>
          <w:top w:val="nil"/>
          <w:left w:val="nil"/>
          <w:bottom w:val="nil"/>
          <w:right w:val="nil"/>
          <w:between w:val="nil"/>
        </w:pBdr>
        <w:spacing w:line="259" w:lineRule="auto"/>
        <w:rPr>
          <w:rFonts w:eastAsia="Times New Roman" w:cs="Times New Roman"/>
          <w:b/>
          <w:color w:val="000000"/>
          <w:sz w:val="16"/>
          <w:szCs w:val="16"/>
        </w:rPr>
      </w:pPr>
      <w:r>
        <w:rPr>
          <w:color w:val="000000"/>
        </w:rPr>
        <w:t xml:space="preserve"> </w:t>
      </w:r>
    </w:p>
  </w:footnote>
  <w:footnote w:id="4">
    <w:p w14:paraId="6D804AF4" w14:textId="77777777" w:rsidR="00707DD2" w:rsidRDefault="00707DD2" w:rsidP="00707DD2">
      <w:pPr>
        <w:pBdr>
          <w:top w:val="nil"/>
          <w:left w:val="nil"/>
          <w:bottom w:val="nil"/>
          <w:right w:val="nil"/>
          <w:between w:val="nil"/>
        </w:pBdr>
        <w:spacing w:after="1" w:line="239" w:lineRule="auto"/>
        <w:ind w:right="1"/>
        <w:jc w:val="both"/>
        <w:rPr>
          <w:rFonts w:eastAsia="Times New Roman" w:cs="Times New Roman"/>
          <w:b/>
          <w:color w:val="000000"/>
          <w:sz w:val="16"/>
          <w:szCs w:val="16"/>
        </w:rPr>
      </w:pPr>
      <w:r>
        <w:rPr>
          <w:vertAlign w:val="superscript"/>
        </w:rPr>
        <w:footnoteRef/>
      </w:r>
      <w:r>
        <w:rPr>
          <w:rFonts w:eastAsia="Times New Roman" w:cs="Times New Roman"/>
          <w:color w:val="000000"/>
          <w:sz w:val="16"/>
          <w:szCs w:val="16"/>
        </w:rPr>
        <w:t xml:space="preserve"> Priority populations identified in th</w:t>
      </w:r>
      <w:hyperlink r:id="rId1">
        <w:r>
          <w:rPr>
            <w:rFonts w:eastAsia="Times New Roman" w:cs="Times New Roman"/>
            <w:color w:val="000000"/>
            <w:sz w:val="16"/>
            <w:szCs w:val="16"/>
          </w:rPr>
          <w:t xml:space="preserve">e </w:t>
        </w:r>
      </w:hyperlink>
      <w:hyperlink r:id="rId2">
        <w:r>
          <w:rPr>
            <w:rFonts w:eastAsia="Times New Roman" w:cs="Times New Roman"/>
            <w:color w:val="0563C1"/>
            <w:sz w:val="16"/>
            <w:szCs w:val="16"/>
            <w:u w:val="single"/>
          </w:rPr>
          <w:t>State of Illinois Workforce Innovation and Opportunity Act Unified State Plan</w:t>
        </w:r>
      </w:hyperlink>
      <w:hyperlink r:id="rId3">
        <w:r>
          <w:rPr>
            <w:rFonts w:eastAsia="Times New Roman" w:cs="Times New Roman"/>
            <w:color w:val="00B0F0"/>
            <w:sz w:val="16"/>
            <w:szCs w:val="16"/>
          </w:rPr>
          <w:t xml:space="preserve"> </w:t>
        </w:r>
      </w:hyperlink>
      <w:hyperlink r:id="rId4">
        <w:r>
          <w:rPr>
            <w:rFonts w:eastAsia="Times New Roman" w:cs="Times New Roman"/>
            <w:color w:val="000000"/>
            <w:sz w:val="16"/>
            <w:szCs w:val="16"/>
          </w:rPr>
          <w:t>a</w:t>
        </w:r>
      </w:hyperlink>
      <w:r>
        <w:rPr>
          <w:rFonts w:eastAsia="Times New Roman" w:cs="Times New Roman"/>
          <w:color w:val="000000"/>
          <w:sz w:val="16"/>
          <w:szCs w:val="16"/>
        </w:rPr>
        <w:t xml:space="preserve">re: Long-term unemployed; Low-income adults; Low literacy adults, including those without a high school diploma; Low-skilled adults; Individuals with disabilities, including youth with disabilities; Those receiving public assistance; Out-of-school youth; Veterans; Migrant and seasonal farm workers; Re-entry individuals (ex-offenders); English Language Learners; Older individuals; Homeless individuals; Single parents; Youth in the foster system or who have aged out; Displaced homemakers; Veterans with disabilities; Indians, Alaska Natives, and Native Hawaiians. </w:t>
      </w:r>
    </w:p>
  </w:footnote>
  <w:footnote w:id="5">
    <w:p w14:paraId="6DC86AC0" w14:textId="77777777" w:rsidR="00707DD2" w:rsidRDefault="00707DD2" w:rsidP="00707DD2">
      <w:pPr>
        <w:pBdr>
          <w:top w:val="nil"/>
          <w:left w:val="nil"/>
          <w:bottom w:val="nil"/>
          <w:right w:val="nil"/>
          <w:between w:val="nil"/>
        </w:pBdr>
        <w:spacing w:after="21" w:line="244" w:lineRule="auto"/>
        <w:ind w:right="3"/>
        <w:jc w:val="both"/>
        <w:rPr>
          <w:rFonts w:eastAsia="Times New Roman" w:cs="Times New Roman"/>
          <w:b/>
          <w:color w:val="000000"/>
          <w:sz w:val="16"/>
          <w:szCs w:val="16"/>
        </w:rPr>
      </w:pPr>
      <w:r>
        <w:rPr>
          <w:vertAlign w:val="superscript"/>
        </w:rPr>
        <w:footnoteRef/>
      </w:r>
      <w:r>
        <w:rPr>
          <w:rFonts w:eastAsia="Times New Roman" w:cs="Times New Roman"/>
          <w:color w:val="000000"/>
          <w:sz w:val="16"/>
          <w:szCs w:val="16"/>
        </w:rPr>
        <w:t xml:space="preserve"> “Workforce preparation activities” means activities, programs, or services designed to help an individual acquire a combination of basic academic skills, critical thinking skills, digital literacy skills, and self-management skills, including competencies in utilizing resources, using information, working with others, understanding systems, and obtaining skills necessary for successful transition into and completion of postsecondary education or training, or employment. WIOA HR 803, SEC. 203. DEFINITIONS (17)  </w:t>
      </w:r>
    </w:p>
  </w:footnote>
  <w:footnote w:id="6">
    <w:p w14:paraId="3CB4282F" w14:textId="77777777" w:rsidR="00707DD2" w:rsidRDefault="00707DD2" w:rsidP="00707DD2">
      <w:pPr>
        <w:pBdr>
          <w:top w:val="nil"/>
          <w:left w:val="nil"/>
          <w:bottom w:val="nil"/>
          <w:right w:val="nil"/>
          <w:between w:val="nil"/>
        </w:pBdr>
        <w:spacing w:after="152" w:line="266" w:lineRule="auto"/>
        <w:rPr>
          <w:rFonts w:eastAsia="Times New Roman" w:cs="Times New Roman"/>
          <w:b/>
          <w:color w:val="000000"/>
          <w:sz w:val="16"/>
          <w:szCs w:val="16"/>
        </w:rPr>
      </w:pPr>
      <w:r>
        <w:rPr>
          <w:vertAlign w:val="superscript"/>
        </w:rPr>
        <w:footnoteRef/>
      </w:r>
      <w:r>
        <w:rPr>
          <w:rFonts w:eastAsia="Times New Roman" w:cs="Times New Roman"/>
          <w:color w:val="000000"/>
          <w:sz w:val="16"/>
          <w:szCs w:val="16"/>
        </w:rPr>
        <w:t xml:space="preserve"> “Foundational professional skills” (often also called “soft skills” or “essential skills”) are the skills needed for success in college, career, and life, such as, but not limited to, punctuality, communication, collaboration, and problem-solving. </w:t>
      </w:r>
    </w:p>
  </w:footnote>
  <w:footnote w:id="7">
    <w:p w14:paraId="66766438" w14:textId="77777777" w:rsidR="00707DD2" w:rsidRDefault="00707DD2" w:rsidP="00707DD2">
      <w:pPr>
        <w:pBdr>
          <w:top w:val="nil"/>
          <w:left w:val="nil"/>
          <w:bottom w:val="nil"/>
          <w:right w:val="nil"/>
          <w:between w:val="nil"/>
        </w:pBdr>
        <w:spacing w:after="17" w:line="242" w:lineRule="auto"/>
        <w:ind w:right="2"/>
        <w:jc w:val="both"/>
        <w:rPr>
          <w:rFonts w:eastAsia="Times New Roman" w:cs="Times New Roman"/>
          <w:b/>
          <w:color w:val="000000"/>
          <w:sz w:val="16"/>
          <w:szCs w:val="16"/>
        </w:rPr>
      </w:pPr>
      <w:r>
        <w:rPr>
          <w:vertAlign w:val="superscript"/>
        </w:rPr>
        <w:footnoteRef/>
      </w:r>
      <w:r>
        <w:rPr>
          <w:rFonts w:eastAsia="Times New Roman" w:cs="Times New Roman"/>
          <w:color w:val="000000"/>
          <w:sz w:val="16"/>
          <w:szCs w:val="16"/>
        </w:rPr>
        <w:t xml:space="preserve"> Work-based learning provides participants with work-based opportunities to practice and enhance the skills and knowledge gained in their program of study or industry training program, as well as to develop employability. Examples </w:t>
      </w:r>
      <w:proofErr w:type="gramStart"/>
      <w:r>
        <w:rPr>
          <w:rFonts w:eastAsia="Times New Roman" w:cs="Times New Roman"/>
          <w:color w:val="000000"/>
          <w:sz w:val="16"/>
          <w:szCs w:val="16"/>
        </w:rPr>
        <w:t>include:</w:t>
      </w:r>
      <w:proofErr w:type="gramEnd"/>
      <w:r>
        <w:rPr>
          <w:rFonts w:eastAsia="Times New Roman" w:cs="Times New Roman"/>
          <w:color w:val="000000"/>
          <w:sz w:val="16"/>
          <w:szCs w:val="16"/>
        </w:rPr>
        <w:t xml:space="preserve"> Internships, service learning, paid work experience, on-the-job training, incumbent worker training, transitional jobs, and apprenticeships. </w:t>
      </w:r>
    </w:p>
  </w:footnote>
  <w:footnote w:id="8">
    <w:p w14:paraId="66EFADAE" w14:textId="77777777" w:rsidR="00707DD2" w:rsidRDefault="00707DD2" w:rsidP="00707DD2">
      <w:pPr>
        <w:pBdr>
          <w:top w:val="nil"/>
          <w:left w:val="nil"/>
          <w:bottom w:val="nil"/>
          <w:right w:val="nil"/>
          <w:between w:val="nil"/>
        </w:pBdr>
        <w:spacing w:after="47" w:line="251" w:lineRule="auto"/>
        <w:jc w:val="both"/>
        <w:rPr>
          <w:rFonts w:eastAsia="Times New Roman" w:cs="Times New Roman"/>
          <w:b/>
          <w:color w:val="000000"/>
          <w:sz w:val="16"/>
          <w:szCs w:val="16"/>
        </w:rPr>
      </w:pPr>
      <w:r>
        <w:rPr>
          <w:vertAlign w:val="superscript"/>
        </w:rPr>
        <w:footnoteRef/>
      </w:r>
      <w:r>
        <w:rPr>
          <w:rFonts w:eastAsia="Times New Roman" w:cs="Times New Roman"/>
          <w:color w:val="000000"/>
          <w:sz w:val="16"/>
          <w:szCs w:val="16"/>
        </w:rPr>
        <w:t xml:space="preserve"> Non-duplicative (across education and training partners) assessments of participants’ education, skills, competencies, assets, and support service needs as they move through a career pathway and its programs.  </w:t>
      </w:r>
    </w:p>
    <w:p w14:paraId="13E6D749" w14:textId="77777777" w:rsidR="00707DD2" w:rsidRDefault="00707DD2" w:rsidP="00707DD2">
      <w:pPr>
        <w:pBdr>
          <w:top w:val="nil"/>
          <w:left w:val="nil"/>
          <w:bottom w:val="nil"/>
          <w:right w:val="nil"/>
          <w:between w:val="nil"/>
        </w:pBdr>
        <w:spacing w:line="259" w:lineRule="auto"/>
        <w:rPr>
          <w:rFonts w:eastAsia="Times New Roman" w:cs="Times New Roman"/>
          <w:b/>
          <w:color w:val="000000"/>
          <w:sz w:val="16"/>
          <w:szCs w:val="16"/>
        </w:rPr>
      </w:pPr>
      <w:r>
        <w:rPr>
          <w:color w:val="000000"/>
        </w:rPr>
        <w:t xml:space="preserve"> </w:t>
      </w:r>
    </w:p>
  </w:footnote>
  <w:footnote w:id="9">
    <w:p w14:paraId="19DDD4A7" w14:textId="77777777" w:rsidR="00707DD2" w:rsidRDefault="00707DD2" w:rsidP="00707DD2">
      <w:pPr>
        <w:pBdr>
          <w:top w:val="nil"/>
          <w:left w:val="nil"/>
          <w:bottom w:val="nil"/>
          <w:right w:val="nil"/>
          <w:between w:val="nil"/>
        </w:pBdr>
        <w:spacing w:after="13" w:line="254" w:lineRule="auto"/>
        <w:jc w:val="both"/>
        <w:rPr>
          <w:rFonts w:eastAsia="Times New Roman" w:cs="Times New Roman"/>
          <w:b/>
          <w:color w:val="000000"/>
          <w:sz w:val="16"/>
          <w:szCs w:val="16"/>
        </w:rPr>
      </w:pPr>
      <w:r>
        <w:rPr>
          <w:vertAlign w:val="superscript"/>
        </w:rPr>
        <w:footnoteRef/>
      </w:r>
      <w:r>
        <w:rPr>
          <w:rFonts w:eastAsia="Times New Roman" w:cs="Times New Roman"/>
          <w:color w:val="000000"/>
          <w:sz w:val="16"/>
          <w:szCs w:val="16"/>
        </w:rPr>
        <w:t xml:space="preserve"> “Modularized curriculum” </w:t>
      </w:r>
      <w:r>
        <w:rPr>
          <w:rFonts w:eastAsia="Times New Roman" w:cs="Times New Roman"/>
          <w:sz w:val="16"/>
          <w:szCs w:val="16"/>
        </w:rPr>
        <w:t>is a curriculum</w:t>
      </w:r>
      <w:r>
        <w:rPr>
          <w:rFonts w:eastAsia="Times New Roman" w:cs="Times New Roman"/>
          <w:color w:val="000000"/>
          <w:sz w:val="16"/>
          <w:szCs w:val="16"/>
        </w:rPr>
        <w:t xml:space="preserve"> that is divided into shorter, ‘self-contained’ segments or chunks of instruction. The common module length can vary depending upon content, format, and schedule of the course. </w:t>
      </w:r>
    </w:p>
  </w:footnote>
  <w:footnote w:id="10">
    <w:p w14:paraId="6E33C8EE" w14:textId="77777777" w:rsidR="00707DD2" w:rsidRDefault="00707DD2" w:rsidP="00707DD2">
      <w:pPr>
        <w:pBdr>
          <w:top w:val="nil"/>
          <w:left w:val="nil"/>
          <w:bottom w:val="nil"/>
          <w:right w:val="nil"/>
          <w:between w:val="nil"/>
        </w:pBdr>
        <w:spacing w:after="11" w:line="249" w:lineRule="auto"/>
        <w:jc w:val="both"/>
        <w:rPr>
          <w:rFonts w:eastAsia="Times New Roman" w:cs="Times New Roman"/>
          <w:b/>
          <w:color w:val="000000"/>
          <w:sz w:val="16"/>
          <w:szCs w:val="16"/>
        </w:rPr>
      </w:pPr>
      <w:r>
        <w:rPr>
          <w:vertAlign w:val="superscript"/>
        </w:rPr>
        <w:footnoteRef/>
      </w:r>
      <w:r>
        <w:rPr>
          <w:rFonts w:eastAsia="Times New Roman" w:cs="Times New Roman"/>
          <w:color w:val="000000"/>
          <w:sz w:val="16"/>
          <w:szCs w:val="16"/>
        </w:rPr>
        <w:t xml:space="preserve"> “Contextualized curriculum and instruction” </w:t>
      </w:r>
      <w:proofErr w:type="gramStart"/>
      <w:r>
        <w:rPr>
          <w:rFonts w:eastAsia="Times New Roman" w:cs="Times New Roman"/>
          <w:color w:val="000000"/>
          <w:sz w:val="16"/>
          <w:szCs w:val="16"/>
        </w:rPr>
        <w:t>is</w:t>
      </w:r>
      <w:proofErr w:type="gramEnd"/>
      <w:r>
        <w:rPr>
          <w:rFonts w:eastAsia="Times New Roman" w:cs="Times New Roman"/>
          <w:color w:val="000000"/>
          <w:sz w:val="16"/>
          <w:szCs w:val="16"/>
        </w:rPr>
        <w:t xml:space="preserve"> the practice of systematically connecting basic skills and academic instruction to industry, or occupational content.  </w:t>
      </w:r>
    </w:p>
  </w:footnote>
  <w:footnote w:id="11">
    <w:p w14:paraId="53B0507D" w14:textId="77777777" w:rsidR="00707DD2" w:rsidRDefault="00707DD2" w:rsidP="00707DD2">
      <w:pPr>
        <w:pBdr>
          <w:top w:val="nil"/>
          <w:left w:val="nil"/>
          <w:bottom w:val="nil"/>
          <w:right w:val="nil"/>
          <w:between w:val="nil"/>
        </w:pBdr>
        <w:spacing w:line="244" w:lineRule="auto"/>
        <w:ind w:right="2"/>
        <w:jc w:val="both"/>
        <w:rPr>
          <w:rFonts w:eastAsia="Times New Roman" w:cs="Times New Roman"/>
          <w:b/>
          <w:color w:val="000000"/>
          <w:sz w:val="16"/>
          <w:szCs w:val="16"/>
        </w:rPr>
      </w:pPr>
      <w:r>
        <w:rPr>
          <w:vertAlign w:val="superscript"/>
        </w:rPr>
        <w:footnoteRef/>
      </w:r>
      <w:r>
        <w:rPr>
          <w:rFonts w:eastAsia="Times New Roman" w:cs="Times New Roman"/>
          <w:color w:val="000000"/>
          <w:sz w:val="16"/>
          <w:szCs w:val="16"/>
        </w:rPr>
        <w:t xml:space="preserve"> “Recognized post-secondary credential”, as defined by the Workforce Innovation and Opportunity Act, means a credential consisting of an industry-recognized certificate or certification, a certificate of completion of an apprenticeship, a license recognized by the State involved or Federal Government, or an associate or baccalaureate degree</w:t>
      </w:r>
      <w:hyperlink r:id="rId5">
        <w:r>
          <w:rPr>
            <w:rFonts w:eastAsia="Times New Roman" w:cs="Times New Roman"/>
            <w:color w:val="000000"/>
            <w:sz w:val="16"/>
            <w:szCs w:val="16"/>
          </w:rPr>
          <w:t xml:space="preserve">. </w:t>
        </w:r>
      </w:hyperlink>
      <w:hyperlink r:id="rId6">
        <w:r>
          <w:rPr>
            <w:rFonts w:eastAsia="Times New Roman" w:cs="Times New Roman"/>
            <w:color w:val="0563C1"/>
            <w:sz w:val="16"/>
            <w:szCs w:val="16"/>
            <w:u w:val="single"/>
          </w:rPr>
          <w:t>https://www.doleta.gov/wioa/Docs/wioa-regs-labor-final-rule.pdf</w:t>
        </w:r>
      </w:hyperlink>
      <w:hyperlink r:id="rId7">
        <w:r>
          <w:rPr>
            <w:rFonts w:eastAsia="Times New Roman" w:cs="Times New Roman"/>
            <w:color w:val="000000"/>
            <w:sz w:val="16"/>
            <w:szCs w:val="16"/>
          </w:rPr>
          <w:t xml:space="preserve">  </w:t>
        </w:r>
      </w:hyperlink>
    </w:p>
    <w:p w14:paraId="2E0CB955" w14:textId="77777777" w:rsidR="00707DD2" w:rsidRDefault="00707DD2" w:rsidP="00707DD2">
      <w:pPr>
        <w:pBdr>
          <w:top w:val="nil"/>
          <w:left w:val="nil"/>
          <w:bottom w:val="nil"/>
          <w:right w:val="nil"/>
          <w:between w:val="nil"/>
        </w:pBdr>
        <w:spacing w:line="259" w:lineRule="auto"/>
        <w:rPr>
          <w:rFonts w:eastAsia="Times New Roman" w:cs="Times New Roman"/>
          <w:b/>
          <w:color w:val="000000"/>
          <w:sz w:val="16"/>
          <w:szCs w:val="16"/>
        </w:rPr>
      </w:pPr>
      <w:hyperlink r:id="rId8">
        <w:r>
          <w:rPr>
            <w:rFonts w:eastAsia="Times New Roman" w:cs="Times New Roman"/>
            <w:color w:val="0563C1"/>
            <w:sz w:val="16"/>
            <w:szCs w:val="16"/>
            <w:u w:val="single"/>
          </w:rPr>
          <w:t>WIOA sec. 3(52)</w:t>
        </w:r>
      </w:hyperlink>
      <w:hyperlink r:id="rId9">
        <w:r>
          <w:rPr>
            <w:rFonts w:eastAsia="Times New Roman" w:cs="Times New Roman"/>
            <w:color w:val="000000"/>
            <w:sz w:val="16"/>
            <w:szCs w:val="16"/>
          </w:rPr>
          <w:t xml:space="preserve">  </w:t>
        </w:r>
      </w:hyperlink>
    </w:p>
  </w:footnote>
  <w:footnote w:id="12">
    <w:p w14:paraId="392EB743" w14:textId="77777777" w:rsidR="00707DD2" w:rsidRDefault="00707DD2" w:rsidP="00707DD2">
      <w:pPr>
        <w:pBdr>
          <w:top w:val="nil"/>
          <w:left w:val="nil"/>
          <w:bottom w:val="nil"/>
          <w:right w:val="nil"/>
          <w:between w:val="nil"/>
        </w:pBdr>
        <w:spacing w:line="246" w:lineRule="auto"/>
        <w:ind w:right="9"/>
        <w:jc w:val="both"/>
        <w:rPr>
          <w:rFonts w:eastAsia="Times New Roman" w:cs="Times New Roman"/>
          <w:b/>
          <w:color w:val="000000"/>
          <w:sz w:val="16"/>
          <w:szCs w:val="16"/>
        </w:rPr>
      </w:pPr>
      <w:r>
        <w:rPr>
          <w:vertAlign w:val="superscript"/>
        </w:rPr>
        <w:footnoteRef/>
      </w:r>
      <w:r>
        <w:rPr>
          <w:rFonts w:eastAsia="Times New Roman" w:cs="Times New Roman"/>
          <w:color w:val="000000"/>
          <w:sz w:val="16"/>
          <w:szCs w:val="16"/>
        </w:rPr>
        <w:t xml:space="preserve"> Core programs within WIOA are: WIOA Title I (Adult, Dislocated Worker and Youth formula programs) administered by Department of Labor (DOL); Adult Education and Literacy Act programs administered by the Department of Education (</w:t>
      </w:r>
      <w:proofErr w:type="spellStart"/>
      <w:r>
        <w:rPr>
          <w:rFonts w:eastAsia="Times New Roman" w:cs="Times New Roman"/>
          <w:color w:val="000000"/>
          <w:sz w:val="16"/>
          <w:szCs w:val="16"/>
        </w:rPr>
        <w:t>DoED</w:t>
      </w:r>
      <w:proofErr w:type="spellEnd"/>
      <w:r>
        <w:rPr>
          <w:rFonts w:eastAsia="Times New Roman" w:cs="Times New Roman"/>
          <w:color w:val="000000"/>
          <w:sz w:val="16"/>
          <w:szCs w:val="16"/>
        </w:rPr>
        <w:t xml:space="preserve">); Wagner-Peyser Act employment services administered by DOL; and Rehabilitation Act Title I programs administered by </w:t>
      </w:r>
      <w:proofErr w:type="spellStart"/>
      <w:r>
        <w:rPr>
          <w:rFonts w:eastAsia="Times New Roman" w:cs="Times New Roman"/>
          <w:color w:val="000000"/>
          <w:sz w:val="16"/>
          <w:szCs w:val="16"/>
        </w:rPr>
        <w:t>DoED</w:t>
      </w:r>
      <w:proofErr w:type="spellEnd"/>
      <w:r>
        <w:rPr>
          <w:rFonts w:eastAsia="Times New Roman" w:cs="Times New Roman"/>
          <w:color w:val="000000"/>
          <w:sz w:val="16"/>
          <w:szCs w:val="16"/>
        </w:rPr>
        <w:t xml:space="preserve">. </w:t>
      </w:r>
    </w:p>
  </w:footnote>
  <w:footnote w:id="13">
    <w:p w14:paraId="503966D2" w14:textId="77777777" w:rsidR="00707DD2" w:rsidRDefault="00707DD2" w:rsidP="00707DD2">
      <w:pPr>
        <w:pBdr>
          <w:top w:val="nil"/>
          <w:left w:val="nil"/>
          <w:bottom w:val="nil"/>
          <w:right w:val="nil"/>
          <w:between w:val="nil"/>
        </w:pBdr>
        <w:spacing w:line="259" w:lineRule="auto"/>
        <w:jc w:val="both"/>
        <w:rPr>
          <w:rFonts w:eastAsia="Times New Roman" w:cs="Times New Roman"/>
          <w:b/>
          <w:color w:val="000000"/>
          <w:sz w:val="16"/>
          <w:szCs w:val="16"/>
        </w:rPr>
      </w:pPr>
      <w:r>
        <w:rPr>
          <w:vertAlign w:val="superscript"/>
        </w:rPr>
        <w:footnoteRef/>
      </w:r>
      <w:r>
        <w:rPr>
          <w:rFonts w:eastAsia="Times New Roman" w:cs="Times New Roman"/>
          <w:color w:val="000000"/>
          <w:sz w:val="16"/>
          <w:szCs w:val="16"/>
        </w:rPr>
        <w:t xml:space="preserve"> Required programs within WIOA </w:t>
      </w:r>
      <w:proofErr w:type="gramStart"/>
      <w:r>
        <w:rPr>
          <w:rFonts w:eastAsia="Times New Roman" w:cs="Times New Roman"/>
          <w:color w:val="000000"/>
          <w:sz w:val="16"/>
          <w:szCs w:val="16"/>
        </w:rPr>
        <w:t>are:</w:t>
      </w:r>
      <w:proofErr w:type="gramEnd"/>
      <w:r>
        <w:rPr>
          <w:rFonts w:eastAsia="Times New Roman" w:cs="Times New Roman"/>
          <w:color w:val="000000"/>
          <w:sz w:val="16"/>
          <w:szCs w:val="16"/>
        </w:rPr>
        <w:t xml:space="preserve"> Career and Technical Education (Perkins), Community Services Block Grant, Indian and Native American </w:t>
      </w:r>
    </w:p>
    <w:p w14:paraId="452A6C31" w14:textId="77777777" w:rsidR="00707DD2" w:rsidRDefault="00707DD2" w:rsidP="00707DD2">
      <w:pPr>
        <w:pBdr>
          <w:top w:val="nil"/>
          <w:left w:val="nil"/>
          <w:bottom w:val="nil"/>
          <w:right w:val="nil"/>
          <w:between w:val="nil"/>
        </w:pBdr>
        <w:spacing w:line="259" w:lineRule="auto"/>
        <w:jc w:val="both"/>
        <w:rPr>
          <w:rFonts w:eastAsia="Times New Roman" w:cs="Times New Roman"/>
          <w:b/>
          <w:color w:val="000000"/>
          <w:sz w:val="16"/>
          <w:szCs w:val="16"/>
        </w:rPr>
      </w:pPr>
      <w:r>
        <w:rPr>
          <w:rFonts w:eastAsia="Times New Roman" w:cs="Times New Roman"/>
          <w:color w:val="000000"/>
          <w:sz w:val="16"/>
          <w:szCs w:val="16"/>
        </w:rPr>
        <w:t xml:space="preserve">Programs, HUD Employment and Training Programs, Job Corps, Local Veterans' Employment Representatives and Disabled Veterans' Outreach </w:t>
      </w:r>
    </w:p>
    <w:p w14:paraId="07856ED8" w14:textId="77777777" w:rsidR="00707DD2" w:rsidRDefault="00707DD2" w:rsidP="00707DD2">
      <w:pPr>
        <w:pBdr>
          <w:top w:val="nil"/>
          <w:left w:val="nil"/>
          <w:bottom w:val="nil"/>
          <w:right w:val="nil"/>
          <w:between w:val="nil"/>
        </w:pBdr>
        <w:spacing w:line="238" w:lineRule="auto"/>
        <w:jc w:val="both"/>
        <w:rPr>
          <w:rFonts w:eastAsia="Times New Roman" w:cs="Times New Roman"/>
          <w:b/>
          <w:color w:val="000000"/>
          <w:sz w:val="16"/>
          <w:szCs w:val="16"/>
        </w:rPr>
      </w:pPr>
      <w:r>
        <w:rPr>
          <w:rFonts w:eastAsia="Times New Roman" w:cs="Times New Roman"/>
          <w:color w:val="000000"/>
          <w:sz w:val="16"/>
          <w:szCs w:val="16"/>
        </w:rPr>
        <w:t xml:space="preserve">Program, National Farmworker Jobs Program, Senior Community Service Employment Program, Temporary Assistance for Needy Families (TANF), Trade Adjustment Assistance Programs, Unemployment Compensation Programs, and YouthBuild </w:t>
      </w:r>
    </w:p>
  </w:footnote>
  <w:footnote w:id="14">
    <w:p w14:paraId="24F9FC2F" w14:textId="77777777" w:rsidR="00707DD2" w:rsidRDefault="00707DD2" w:rsidP="00707DD2">
      <w:pPr>
        <w:pBdr>
          <w:top w:val="nil"/>
          <w:left w:val="nil"/>
          <w:bottom w:val="nil"/>
          <w:right w:val="nil"/>
          <w:between w:val="nil"/>
        </w:pBdr>
        <w:spacing w:line="241" w:lineRule="auto"/>
        <w:jc w:val="both"/>
        <w:rPr>
          <w:rFonts w:eastAsia="Times New Roman" w:cs="Times New Roman"/>
          <w:b/>
          <w:color w:val="000000"/>
          <w:sz w:val="16"/>
          <w:szCs w:val="16"/>
        </w:rPr>
      </w:pPr>
      <w:r>
        <w:rPr>
          <w:vertAlign w:val="superscript"/>
        </w:rPr>
        <w:footnoteRef/>
      </w:r>
      <w:r>
        <w:rPr>
          <w:rFonts w:eastAsia="Times New Roman" w:cs="Times New Roman"/>
          <w:color w:val="000000"/>
          <w:sz w:val="16"/>
          <w:szCs w:val="16"/>
        </w:rPr>
        <w:t xml:space="preserve"> “Incumbent worker training” is training that is developed with an employer or employer association (group of employers) to retain a skilled workforce or avert the need to lay off employees by assisting the workers in obtaining the skills necessary to retain employment.</w:t>
      </w:r>
      <w:r>
        <w:rPr>
          <w:rFonts w:eastAsia="Times New Roman" w:cs="Times New Roman"/>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C54E4" w14:textId="77777777" w:rsidR="00707DD2" w:rsidRDefault="00707DD2">
    <w:pPr>
      <w:spacing w:after="19" w:line="259" w:lineRule="auto"/>
      <w:ind w:right="5"/>
      <w:jc w:val="center"/>
    </w:pPr>
    <w:r>
      <w:t xml:space="preserve">AGENCY SPECIFIC CONTENT FOR THE NOTICE OF FUNDING OPPORTUNITY  </w:t>
    </w:r>
  </w:p>
  <w:p w14:paraId="7C61830B" w14:textId="77777777" w:rsidR="00707DD2" w:rsidRDefault="00707DD2">
    <w:pPr>
      <w:spacing w:after="160" w:line="259" w:lineRule="auto"/>
      <w:ind w:right="6"/>
      <w:jc w:val="center"/>
    </w:pPr>
    <w:r>
      <w:t xml:space="preserve">WIOA STATEWIDE YOUTH CAREER PATHWAYS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0085" w14:textId="78271580" w:rsidR="00707DD2" w:rsidRDefault="3F8261F0" w:rsidP="62DC3177">
    <w:pPr>
      <w:spacing w:line="259" w:lineRule="auto"/>
    </w:pPr>
    <w:r>
      <w:rPr>
        <w:noProof/>
      </w:rPr>
      <w:drawing>
        <wp:inline distT="0" distB="0" distL="0" distR="0" wp14:anchorId="1DDBC7C6" wp14:editId="021822F4">
          <wp:extent cx="3438525" cy="914400"/>
          <wp:effectExtent l="0" t="0" r="0" b="0"/>
          <wp:docPr id="675777380" name="Picture 675777380"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438525" cy="914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AFD9D" w14:textId="77777777" w:rsidR="00707DD2" w:rsidRDefault="00707DD2">
    <w:pPr>
      <w:spacing w:after="19" w:line="259" w:lineRule="auto"/>
      <w:ind w:right="5"/>
      <w:jc w:val="center"/>
    </w:pPr>
    <w:r>
      <w:t xml:space="preserve">AGENCY SPECIFIC CONTENT FOR THE NOTICE OF FUNDING OPPORTUNITY  </w:t>
    </w:r>
  </w:p>
  <w:p w14:paraId="4C0053D7" w14:textId="77777777" w:rsidR="00707DD2" w:rsidRDefault="00707DD2">
    <w:pPr>
      <w:spacing w:after="160" w:line="259" w:lineRule="auto"/>
      <w:ind w:right="6"/>
      <w:jc w:val="center"/>
    </w:pPr>
    <w:r>
      <w:t xml:space="preserve">WIOA STATEWIDE YOUTH CAREER PATHWAYS </w:t>
    </w:r>
  </w:p>
  <w:p w14:paraId="439D36D9" w14:textId="77777777" w:rsidR="00707DD2" w:rsidRDefault="00707DD2">
    <w:pPr>
      <w:spacing w:line="259" w:lineRule="auto"/>
    </w:pPr>
    <w:r>
      <w:rPr>
        <w:rFonts w:ascii="Quattrocento Sans" w:eastAsia="Quattrocento Sans" w:hAnsi="Quattrocento Sans" w:cs="Quattrocento Sans"/>
      </w:rPr>
      <w:t>•</w: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06A"/>
    <w:multiLevelType w:val="hybridMultilevel"/>
    <w:tmpl w:val="8ECE1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14B25"/>
    <w:multiLevelType w:val="multilevel"/>
    <w:tmpl w:val="FFFA9F0A"/>
    <w:lvl w:ilvl="0">
      <w:start w:val="1"/>
      <w:numFmt w:val="bullet"/>
      <w:lvlText w:val="•"/>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080" w:hanging="108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240" w:hanging="32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400" w:hanging="54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2" w15:restartNumberingAfterBreak="0">
    <w:nsid w:val="0C5E35A8"/>
    <w:multiLevelType w:val="multilevel"/>
    <w:tmpl w:val="5456D62A"/>
    <w:lvl w:ilvl="0">
      <w:start w:val="1"/>
      <w:numFmt w:val="bullet"/>
      <w:lvlText w:val="•"/>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080" w:hanging="108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240" w:hanging="32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400" w:hanging="54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3" w15:restartNumberingAfterBreak="0">
    <w:nsid w:val="1B7B05F1"/>
    <w:multiLevelType w:val="multilevel"/>
    <w:tmpl w:val="37A405D6"/>
    <w:lvl w:ilvl="0">
      <w:start w:val="1"/>
      <w:numFmt w:val="bullet"/>
      <w:lvlText w:val="•"/>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080" w:hanging="108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240" w:hanging="32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400" w:hanging="54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4" w15:restartNumberingAfterBreak="0">
    <w:nsid w:val="21CD7891"/>
    <w:multiLevelType w:val="multilevel"/>
    <w:tmpl w:val="5D9EF9BA"/>
    <w:lvl w:ilvl="0">
      <w:start w:val="1"/>
      <w:numFmt w:val="bullet"/>
      <w:lvlText w:val="•"/>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080" w:hanging="108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240" w:hanging="32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400" w:hanging="54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5" w15:restartNumberingAfterBreak="0">
    <w:nsid w:val="4A59037B"/>
    <w:multiLevelType w:val="multilevel"/>
    <w:tmpl w:val="766EC8EA"/>
    <w:lvl w:ilvl="0">
      <w:start w:val="1"/>
      <w:numFmt w:val="bullet"/>
      <w:lvlText w:val="•"/>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080" w:hanging="108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240" w:hanging="32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400" w:hanging="54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6" w15:restartNumberingAfterBreak="0">
    <w:nsid w:val="6C7102DA"/>
    <w:multiLevelType w:val="hybridMultilevel"/>
    <w:tmpl w:val="9C921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218420">
    <w:abstractNumId w:val="4"/>
  </w:num>
  <w:num w:numId="2" w16cid:durableId="375815565">
    <w:abstractNumId w:val="2"/>
  </w:num>
  <w:num w:numId="3" w16cid:durableId="747925823">
    <w:abstractNumId w:val="5"/>
  </w:num>
  <w:num w:numId="4" w16cid:durableId="175003518">
    <w:abstractNumId w:val="3"/>
  </w:num>
  <w:num w:numId="5" w16cid:durableId="2113935931">
    <w:abstractNumId w:val="1"/>
  </w:num>
  <w:num w:numId="6" w16cid:durableId="39325541">
    <w:abstractNumId w:val="6"/>
  </w:num>
  <w:num w:numId="7" w16cid:durableId="902790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DD2"/>
    <w:rsid w:val="00076E63"/>
    <w:rsid w:val="000845DC"/>
    <w:rsid w:val="00140E7A"/>
    <w:rsid w:val="00205F82"/>
    <w:rsid w:val="00213D48"/>
    <w:rsid w:val="00292C80"/>
    <w:rsid w:val="00335918"/>
    <w:rsid w:val="00377CF8"/>
    <w:rsid w:val="0038448E"/>
    <w:rsid w:val="003B23C4"/>
    <w:rsid w:val="00493C15"/>
    <w:rsid w:val="005B52A9"/>
    <w:rsid w:val="0064691A"/>
    <w:rsid w:val="00690B31"/>
    <w:rsid w:val="00707DD2"/>
    <w:rsid w:val="007A5120"/>
    <w:rsid w:val="007C1C85"/>
    <w:rsid w:val="007C3563"/>
    <w:rsid w:val="007E6FF2"/>
    <w:rsid w:val="009B591B"/>
    <w:rsid w:val="00A47635"/>
    <w:rsid w:val="00A8733E"/>
    <w:rsid w:val="00DB64BE"/>
    <w:rsid w:val="00EA4301"/>
    <w:rsid w:val="00F55A11"/>
    <w:rsid w:val="00FB0813"/>
    <w:rsid w:val="164CF047"/>
    <w:rsid w:val="2CB6663B"/>
    <w:rsid w:val="30615883"/>
    <w:rsid w:val="3CEA92E6"/>
    <w:rsid w:val="3F8261F0"/>
    <w:rsid w:val="5259EDB0"/>
    <w:rsid w:val="58093DDD"/>
    <w:rsid w:val="59CF6DFA"/>
    <w:rsid w:val="62DC3177"/>
    <w:rsid w:val="7348874A"/>
    <w:rsid w:val="7383CA9C"/>
    <w:rsid w:val="7D3B8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17CD2"/>
  <w15:chartTrackingRefBased/>
  <w15:docId w15:val="{7B346AF6-960D-4FCF-A840-A4D7E1D30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07DD2"/>
    <w:pPr>
      <w:keepNext/>
      <w:keepLines/>
      <w:pBdr>
        <w:top w:val="nil"/>
        <w:left w:val="nil"/>
        <w:bottom w:val="nil"/>
        <w:right w:val="nil"/>
        <w:between w:val="nil"/>
      </w:pBdr>
      <w:spacing w:after="5" w:line="248" w:lineRule="auto"/>
      <w:ind w:left="10" w:hanging="10"/>
      <w:outlineLvl w:val="1"/>
    </w:pPr>
    <w:rPr>
      <w:rFonts w:ascii="Calibri" w:eastAsia="Calibri" w:hAnsi="Calibri" w:cs="Calibri"/>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7DD2"/>
    <w:rPr>
      <w:rFonts w:ascii="Calibri" w:eastAsia="Calibri" w:hAnsi="Calibri" w:cs="Calibri"/>
      <w:b/>
      <w:color w:val="000000"/>
      <w:sz w:val="22"/>
      <w:szCs w:val="22"/>
    </w:rPr>
  </w:style>
  <w:style w:type="paragraph" w:styleId="ListParagraph">
    <w:name w:val="List Paragraph"/>
    <w:basedOn w:val="Normal"/>
    <w:uiPriority w:val="34"/>
    <w:qFormat/>
    <w:rsid w:val="007C3563"/>
    <w:pPr>
      <w:ind w:left="720"/>
      <w:contextualSpacing/>
    </w:pPr>
  </w:style>
  <w:style w:type="table" w:styleId="TableGrid">
    <w:name w:val="Table Grid"/>
    <w:basedOn w:val="TableNormal"/>
    <w:uiPriority w:val="39"/>
    <w:rsid w:val="00493C1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DB64BE"/>
    <w:pPr>
      <w:spacing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DB64BE"/>
    <w:pPr>
      <w:spacing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DB64BE"/>
    <w:pPr>
      <w:spacing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semiHidden/>
    <w:unhideWhenUsed/>
    <w:rsid w:val="00F55A1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55A11"/>
  </w:style>
  <w:style w:type="paragraph" w:styleId="Footer">
    <w:name w:val="footer"/>
    <w:basedOn w:val="Normal"/>
    <w:link w:val="FooterChar"/>
    <w:uiPriority w:val="99"/>
    <w:semiHidden/>
    <w:unhideWhenUsed/>
    <w:rsid w:val="00F55A11"/>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55A11"/>
  </w:style>
  <w:style w:type="character" w:customStyle="1" w:styleId="normaltextrun">
    <w:name w:val="normaltextrun"/>
    <w:basedOn w:val="DefaultParagraphFont"/>
    <w:rsid w:val="007C1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47772">
      <w:bodyDiv w:val="1"/>
      <w:marLeft w:val="0"/>
      <w:marRight w:val="0"/>
      <w:marTop w:val="0"/>
      <w:marBottom w:val="0"/>
      <w:divBdr>
        <w:top w:val="none" w:sz="0" w:space="0" w:color="auto"/>
        <w:left w:val="none" w:sz="0" w:space="0" w:color="auto"/>
        <w:bottom w:val="none" w:sz="0" w:space="0" w:color="auto"/>
        <w:right w:val="none" w:sz="0" w:space="0" w:color="auto"/>
      </w:divBdr>
    </w:div>
    <w:div w:id="172888752">
      <w:bodyDiv w:val="1"/>
      <w:marLeft w:val="0"/>
      <w:marRight w:val="0"/>
      <w:marTop w:val="0"/>
      <w:marBottom w:val="0"/>
      <w:divBdr>
        <w:top w:val="none" w:sz="0" w:space="0" w:color="auto"/>
        <w:left w:val="none" w:sz="0" w:space="0" w:color="auto"/>
        <w:bottom w:val="none" w:sz="0" w:space="0" w:color="auto"/>
        <w:right w:val="none" w:sz="0" w:space="0" w:color="auto"/>
      </w:divBdr>
    </w:div>
    <w:div w:id="76391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congress.gov/113/bills/hr803/BILLS-113hr803enr.pdf" TargetMode="External"/><Relationship Id="rId3" Type="http://schemas.openxmlformats.org/officeDocument/2006/relationships/hyperlink" Target="https://www.illinoisworknet.com/WIOA/Resources/Documents/ILLINOIS%20UNIFIED%20STATE%20PLAN%20--%20FINAL.pdf" TargetMode="External"/><Relationship Id="rId7" Type="http://schemas.openxmlformats.org/officeDocument/2006/relationships/hyperlink" Target="https://www.doleta.gov/wioa/Docs/wioa-regs-labor-final-rule.pdf" TargetMode="External"/><Relationship Id="rId2" Type="http://schemas.openxmlformats.org/officeDocument/2006/relationships/hyperlink" Target="https://www.illinoisworknet.com/WIOA/Resources/Documents/ILLINOIS%20UNIFIED%20STATE%20PLAN%20--%20FINAL.pdf" TargetMode="External"/><Relationship Id="rId1" Type="http://schemas.openxmlformats.org/officeDocument/2006/relationships/hyperlink" Target="https://www.illinoisworknet.com/WIOA/Resources/Documents/ILLINOIS%20UNIFIED%20STATE%20PLAN%20--%20FINAL.pdf" TargetMode="External"/><Relationship Id="rId6" Type="http://schemas.openxmlformats.org/officeDocument/2006/relationships/hyperlink" Target="https://www.doleta.gov/wioa/Docs/wioa-regs-labor-final-rule.pdf" TargetMode="External"/><Relationship Id="rId5" Type="http://schemas.openxmlformats.org/officeDocument/2006/relationships/hyperlink" Target="https://www.doleta.gov/wioa/Docs/wioa-regs-labor-final-rule.pdf" TargetMode="External"/><Relationship Id="rId4" Type="http://schemas.openxmlformats.org/officeDocument/2006/relationships/hyperlink" Target="https://www.illinoisworknet.com/WIOA/Resources/Documents/ILLINOIS%20UNIFIED%20STATE%20PLAN%20--%20FINAL.pdf" TargetMode="External"/><Relationship Id="rId9" Type="http://schemas.openxmlformats.org/officeDocument/2006/relationships/hyperlink" Target="https://www.congress.gov/113/bills/hr803/BILLS-113hr803enr.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52569ECEA4A742A2C5974F57977DA4" ma:contentTypeVersion="5" ma:contentTypeDescription="Create a new document." ma:contentTypeScope="" ma:versionID="79c9f2753a94edf9e8c03015e3e7977f">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62EF87-7C5D-4242-A90F-53514606732C}">
  <ds:schemaRefs>
    <ds:schemaRef ds:uri="http://schemas.microsoft.com/office/2006/metadata/properties"/>
    <ds:schemaRef ds:uri="http://schemas.microsoft.com/office/infopath/2007/PartnerControls"/>
    <ds:schemaRef ds:uri="eb97dfe2-fd51-4e41-93e8-d8716fab69f8"/>
    <ds:schemaRef ds:uri="dd54045c-b46d-4c13-9da1-a7be3883e8fd"/>
  </ds:schemaRefs>
</ds:datastoreItem>
</file>

<file path=customXml/itemProps2.xml><?xml version="1.0" encoding="utf-8"?>
<ds:datastoreItem xmlns:ds="http://schemas.openxmlformats.org/officeDocument/2006/customXml" ds:itemID="{8532241B-B7F3-48D6-81B0-AB5298E7B7BD}"/>
</file>

<file path=customXml/itemProps3.xml><?xml version="1.0" encoding="utf-8"?>
<ds:datastoreItem xmlns:ds="http://schemas.openxmlformats.org/officeDocument/2006/customXml" ds:itemID="{BEDB63F7-B98D-49C5-B205-B7DA45929D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1668</Words>
  <Characters>9513</Characters>
  <Application>Microsoft Office Word</Application>
  <DocSecurity>4</DocSecurity>
  <Lines>79</Lines>
  <Paragraphs>22</Paragraphs>
  <ScaleCrop>false</ScaleCrop>
  <Company/>
  <LinksUpToDate>false</LinksUpToDate>
  <CharactersWithSpaces>11159</CharactersWithSpaces>
  <SharedDoc>false</SharedDoc>
  <HLinks>
    <vt:vector size="54" baseType="variant">
      <vt:variant>
        <vt:i4>6750245</vt:i4>
      </vt:variant>
      <vt:variant>
        <vt:i4>24</vt:i4>
      </vt:variant>
      <vt:variant>
        <vt:i4>0</vt:i4>
      </vt:variant>
      <vt:variant>
        <vt:i4>5</vt:i4>
      </vt:variant>
      <vt:variant>
        <vt:lpwstr>https://www.congress.gov/113/bills/hr803/BILLS-113hr803enr.pdf</vt:lpwstr>
      </vt:variant>
      <vt:variant>
        <vt:lpwstr/>
      </vt:variant>
      <vt:variant>
        <vt:i4>6750245</vt:i4>
      </vt:variant>
      <vt:variant>
        <vt:i4>21</vt:i4>
      </vt:variant>
      <vt:variant>
        <vt:i4>0</vt:i4>
      </vt:variant>
      <vt:variant>
        <vt:i4>5</vt:i4>
      </vt:variant>
      <vt:variant>
        <vt:lpwstr>https://www.congress.gov/113/bills/hr803/BILLS-113hr803enr.pdf</vt:lpwstr>
      </vt:variant>
      <vt:variant>
        <vt:lpwstr/>
      </vt:variant>
      <vt:variant>
        <vt:i4>7733284</vt:i4>
      </vt:variant>
      <vt:variant>
        <vt:i4>18</vt:i4>
      </vt:variant>
      <vt:variant>
        <vt:i4>0</vt:i4>
      </vt:variant>
      <vt:variant>
        <vt:i4>5</vt:i4>
      </vt:variant>
      <vt:variant>
        <vt:lpwstr>https://www.doleta.gov/wioa/Docs/wioa-regs-labor-final-rule.pdf</vt:lpwstr>
      </vt:variant>
      <vt:variant>
        <vt:lpwstr/>
      </vt:variant>
      <vt:variant>
        <vt:i4>7733284</vt:i4>
      </vt:variant>
      <vt:variant>
        <vt:i4>15</vt:i4>
      </vt:variant>
      <vt:variant>
        <vt:i4>0</vt:i4>
      </vt:variant>
      <vt:variant>
        <vt:i4>5</vt:i4>
      </vt:variant>
      <vt:variant>
        <vt:lpwstr>https://www.doleta.gov/wioa/Docs/wioa-regs-labor-final-rule.pdf</vt:lpwstr>
      </vt:variant>
      <vt:variant>
        <vt:lpwstr/>
      </vt:variant>
      <vt:variant>
        <vt:i4>7733284</vt:i4>
      </vt:variant>
      <vt:variant>
        <vt:i4>12</vt:i4>
      </vt:variant>
      <vt:variant>
        <vt:i4>0</vt:i4>
      </vt:variant>
      <vt:variant>
        <vt:i4>5</vt:i4>
      </vt:variant>
      <vt:variant>
        <vt:lpwstr>https://www.doleta.gov/wioa/Docs/wioa-regs-labor-final-rule.pdf</vt:lpwstr>
      </vt:variant>
      <vt:variant>
        <vt:lpwstr/>
      </vt:variant>
      <vt:variant>
        <vt:i4>4653061</vt:i4>
      </vt:variant>
      <vt:variant>
        <vt:i4>9</vt:i4>
      </vt:variant>
      <vt:variant>
        <vt:i4>0</vt:i4>
      </vt:variant>
      <vt:variant>
        <vt:i4>5</vt:i4>
      </vt:variant>
      <vt:variant>
        <vt:lpwstr>https://www.illinoisworknet.com/WIOA/Resources/Documents/ILLINOIS UNIFIED STATE PLAN -- FINAL.pdf</vt:lpwstr>
      </vt:variant>
      <vt:variant>
        <vt:lpwstr/>
      </vt:variant>
      <vt:variant>
        <vt:i4>4653061</vt:i4>
      </vt:variant>
      <vt:variant>
        <vt:i4>6</vt:i4>
      </vt:variant>
      <vt:variant>
        <vt:i4>0</vt:i4>
      </vt:variant>
      <vt:variant>
        <vt:i4>5</vt:i4>
      </vt:variant>
      <vt:variant>
        <vt:lpwstr>https://www.illinoisworknet.com/WIOA/Resources/Documents/ILLINOIS UNIFIED STATE PLAN -- FINAL.pdf</vt:lpwstr>
      </vt:variant>
      <vt:variant>
        <vt:lpwstr/>
      </vt:variant>
      <vt:variant>
        <vt:i4>4653061</vt:i4>
      </vt:variant>
      <vt:variant>
        <vt:i4>3</vt:i4>
      </vt:variant>
      <vt:variant>
        <vt:i4>0</vt:i4>
      </vt:variant>
      <vt:variant>
        <vt:i4>5</vt:i4>
      </vt:variant>
      <vt:variant>
        <vt:lpwstr>https://www.illinoisworknet.com/WIOA/Resources/Documents/ILLINOIS UNIFIED STATE PLAN -- FINAL.pdf</vt:lpwstr>
      </vt:variant>
      <vt:variant>
        <vt:lpwstr/>
      </vt:variant>
      <vt:variant>
        <vt:i4>4653061</vt:i4>
      </vt:variant>
      <vt:variant>
        <vt:i4>0</vt:i4>
      </vt:variant>
      <vt:variant>
        <vt:i4>0</vt:i4>
      </vt:variant>
      <vt:variant>
        <vt:i4>5</vt:i4>
      </vt:variant>
      <vt:variant>
        <vt:lpwstr>https://www.illinoisworknet.com/WIOA/Resources/Documents/ILLINOIS UNIFIED STATE PLAN -- 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Blalock</dc:creator>
  <cp:keywords/>
  <dc:description/>
  <cp:lastModifiedBy>giasuggs</cp:lastModifiedBy>
  <cp:revision>8</cp:revision>
  <cp:lastPrinted>2021-08-13T19:37:00Z</cp:lastPrinted>
  <dcterms:created xsi:type="dcterms:W3CDTF">2025-09-26T18:25:00Z</dcterms:created>
  <dcterms:modified xsi:type="dcterms:W3CDTF">2025-09-26T17:32:00Z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0x010100CE52569ECEA4A742A2C5974F57977DA4</vt:lpwstr>
  </property>
  <property fmtid="{D5CDD505-2E9C-101B-9397-08002B2CF9AE}" pid="3" name="MediaServiceImageTags">
    <vt:lpwstr/>
  </property>
</Properties>
</file>