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rFonts w:ascii="Aptos" w:hAnsi="Aptos"/>
          <w:b/>
          <w:color w:val="5C6974"/>
          <w:sz w:val="22"/>
        </w:rPr>
        <w:t>HOME ILLINOIS WORKFORCE PILOT</w:t>
      </w:r>
    </w:p>
    <w:p>
      <w:pPr>
        <w:spacing w:after="20"/>
        <w:jc w:val="center"/>
      </w:pPr>
      <w:r>
        <w:rPr>
          <w:rFonts w:ascii="Aptos Display" w:hAnsi="Aptos Display"/>
          <w:b/>
          <w:color w:val="0B67B2"/>
          <w:sz w:val="44"/>
        </w:rPr>
        <w:t>Frequently Asked Questions</w:t>
      </w:r>
      <w:r>
        <w:rPr>
          <w:rFonts w:ascii="Aptos Display" w:hAnsi="Aptos Display"/>
          <w:b/>
          <w:color w:val="0B67B2"/>
          <w:sz w:val="44"/>
        </w:rPr>
        <w:t xml:space="preserve">  |  Final-Year Clarifications</w:t>
      </w:r>
    </w:p>
    <w:p>
      <w:pPr>
        <w:spacing w:after="20"/>
        <w:jc w:val="center"/>
      </w:pPr>
      <w:r>
        <w:rPr>
          <w:rFonts w:ascii="Aptos" w:hAnsi="Aptos"/>
          <w:color w:val="5C6974"/>
          <w:sz w:val="21"/>
        </w:rPr>
        <w:t>DCEO + OPEH  |  Updated September 2026</w:t>
      </w:r>
    </w:p>
    <w:tbl>
      <w:tblPr>
        <w:tblW w:type="auto" w:w="0"/>
        <w:jc w:val="center"/>
        <w:tblLook w:firstColumn="1" w:firstRow="1" w:lastColumn="0" w:lastRow="0" w:noHBand="0" w:noVBand="1" w:val="04A0"/>
      </w:tblPr>
      <w:tblGrid>
        <w:gridCol w:w="14458"/>
      </w:tblGrid>
      <w:tr>
        <w:tc>
          <w:tcPr>
            <w:tcW w:type="dxa" w:w="14458"/>
            <w:shd w:fill="EEF6FA"/>
            <w:tcMar>
              <w:top w:w="85" w:type="dxa"/>
              <w:start w:w="110" w:type="dxa"/>
              <w:bottom w:w="85" w:type="dxa"/>
              <w:end w:w="110" w:type="dxa"/>
            </w:tcMar>
          </w:tcPr>
          <w:p>
            <w:pPr>
              <w:spacing w:after="0"/>
            </w:pPr>
            <w:r>
              <w:rPr>
                <w:b/>
                <w:color w:val="0B67B2"/>
                <w:sz w:val="21"/>
              </w:rPr>
              <w:t xml:space="preserve">WHAT WE HEARD  </w:t>
            </w:r>
            <w:r>
              <w:rPr>
                <w:color w:val="283138"/>
                <w:sz w:val="19"/>
              </w:rPr>
              <w:t>Partners asked for clearer follow-up, Home Illinois-specific monitoring guidance, stronger housing-to-workforce handoffs, better Illinois workNet support, cross-training, and a clear sustainability plan. The final-year TA series is being built around those concerns.</w:t>
            </w:r>
          </w:p>
        </w:tc>
      </w:tr>
    </w:tbl>
    <w:p>
      <w:pPr>
        <w:spacing w:after="0" w:before="0" w:line="20" w:lineRule="exact"/>
      </w:pPr>
      <w:r>
        <w:rPr>
          <w:sz w:val="2"/>
        </w:rPr>
      </w:r>
    </w:p>
    <w:tbl>
      <w:tblPr>
        <w:tblW w:type="auto" w:w="0"/>
        <w:jc w:val="center"/>
        <w:tblLayout w:type="fixed"/>
        <w:tblLook w:firstColumn="1" w:firstRow="1" w:lastColumn="0" w:lastRow="0" w:noHBand="0" w:noVBand="1" w:val="04A0"/>
      </w:tblPr>
      <w:tblGrid>
        <w:gridCol w:w="7200"/>
        <w:gridCol w:w="7200"/>
      </w:tblGrid>
      <w:tr>
        <w:tc>
          <w:tcPr>
            <w:tcW w:type="dxa" w:w="7229"/>
            <w:vAlign w:val="top"/>
            <w:tcMar>
              <w:top w:w="90" w:type="dxa"/>
              <w:start w:w="105" w:type="dxa"/>
              <w:bottom w:w="80" w:type="dxa"/>
              <w:end w:w="105" w:type="dxa"/>
            </w:tcMar>
            <w:shd w:fill="F7FAFC"/>
          </w:tcPr>
          <w:p>
            <w:pPr>
              <w:spacing w:after="20"/>
            </w:pPr>
            <w:r/>
            <w:r>
              <w:rPr>
                <w:rFonts w:ascii="Aptos" w:hAnsi="Aptos"/>
                <w:b/>
                <w:color w:val="0B7BB2"/>
                <w:sz w:val="21"/>
              </w:rPr>
              <w:t>1. What is the focus of the final year?</w:t>
            </w:r>
          </w:p>
          <w:p>
            <w:pPr>
              <w:spacing w:after="0" w:line="240" w:lineRule="auto"/>
            </w:pPr>
            <w:r>
              <w:rPr>
                <w:rFonts w:ascii="Aptos" w:hAnsi="Aptos"/>
                <w:color w:val="283138"/>
                <w:sz w:val="19"/>
              </w:rPr>
              <w:t>Serve participants well, strengthen regional workflows, improve accountability, capture lessons, and sustain what works beyond June 2027. Enrollment matters, but meaningful service and outcomes come first.</w:t>
            </w:r>
          </w:p>
        </w:tc>
        <w:tc>
          <w:tcPr>
            <w:tcW w:type="dxa" w:w="7229"/>
            <w:vAlign w:val="top"/>
            <w:tcMar>
              <w:top w:w="90" w:type="dxa"/>
              <w:start w:w="105" w:type="dxa"/>
              <w:bottom w:w="80" w:type="dxa"/>
              <w:end w:w="105" w:type="dxa"/>
            </w:tcMar>
            <w:shd w:fill="F7FAFC"/>
          </w:tcPr>
          <w:p>
            <w:pPr>
              <w:spacing w:after="20"/>
            </w:pPr>
            <w:r/>
            <w:r>
              <w:rPr>
                <w:rFonts w:ascii="Aptos" w:hAnsi="Aptos"/>
                <w:b/>
                <w:color w:val="0B7B83"/>
                <w:sz w:val="21"/>
              </w:rPr>
              <w:t>5. How should housing and workforce partners work together?</w:t>
            </w:r>
          </w:p>
          <w:p>
            <w:pPr>
              <w:spacing w:after="0" w:line="240" w:lineRule="auto"/>
            </w:pPr>
            <w:r>
              <w:rPr>
                <w:rFonts w:ascii="Aptos" w:hAnsi="Aptos"/>
                <w:color w:val="283138"/>
                <w:sz w:val="19"/>
              </w:rPr>
              <w:t>Use a clear participant pathway: who refers, who receives, who follows up, how the referring partner knows the participant connected, and how reengagement happens when the journey is nonlinear.</w:t>
            </w:r>
          </w:p>
        </w:tc>
      </w:tr>
      <w:tr>
        <w:tc>
          <w:tcPr>
            <w:tcW w:type="dxa" w:w="7229"/>
            <w:vAlign w:val="top"/>
            <w:tcMar>
              <w:top w:w="90" w:type="dxa"/>
              <w:start w:w="105" w:type="dxa"/>
              <w:bottom w:w="80" w:type="dxa"/>
              <w:end w:w="105" w:type="dxa"/>
            </w:tcMar>
            <w:shd w:fill="FFFFFF"/>
          </w:tcPr>
          <w:p>
            <w:pPr>
              <w:spacing w:after="20"/>
            </w:pPr>
            <w:r/>
            <w:r>
              <w:rPr>
                <w:rFonts w:ascii="Aptos" w:hAnsi="Aptos"/>
                <w:b/>
                <w:color w:val="0B7BB2"/>
                <w:sz w:val="21"/>
              </w:rPr>
              <w:t>2. Who should attend the monthly TA calls?</w:t>
            </w:r>
          </w:p>
          <w:p>
            <w:pPr>
              <w:spacing w:after="0" w:line="240" w:lineRule="auto"/>
            </w:pPr>
            <w:r>
              <w:rPr>
                <w:rFonts w:ascii="Aptos" w:hAnsi="Aptos"/>
                <w:color w:val="283138"/>
                <w:sz w:val="19"/>
              </w:rPr>
              <w:t>Employment Navigators should be regular attendees. Staff who work directly with participants and staff who enter or maintain participant information in Illinois workNet should also attend. For fiscal, grant administration, monitoring, or other specialized TA, please forward the invite to the appropriate fiscal, grant, leadership, or program staff.</w:t>
            </w:r>
          </w:p>
        </w:tc>
        <w:tc>
          <w:tcPr>
            <w:tcW w:type="dxa" w:w="7229"/>
            <w:vAlign w:val="top"/>
            <w:tcMar>
              <w:top w:w="90" w:type="dxa"/>
              <w:start w:w="105" w:type="dxa"/>
              <w:bottom w:w="80" w:type="dxa"/>
              <w:end w:w="105" w:type="dxa"/>
            </w:tcMar>
            <w:shd w:fill="FFFFFF"/>
          </w:tcPr>
          <w:p>
            <w:pPr>
              <w:spacing w:after="20"/>
            </w:pPr>
            <w:r/>
            <w:r>
              <w:rPr>
                <w:rFonts w:ascii="Aptos" w:hAnsi="Aptos"/>
                <w:b/>
                <w:color w:val="0B7B83"/>
                <w:sz w:val="21"/>
              </w:rPr>
              <w:t>6. What is changing around Illinois workNet and referrals?</w:t>
            </w:r>
          </w:p>
          <w:p>
            <w:pPr>
              <w:spacing w:after="0" w:line="240" w:lineRule="auto"/>
            </w:pPr>
            <w:r>
              <w:rPr>
                <w:rFonts w:ascii="Aptos" w:hAnsi="Aptos"/>
                <w:color w:val="283138"/>
                <w:sz w:val="19"/>
              </w:rPr>
              <w:t>Future TA will include practical Illinois workNet, Career Plan, Service Finder, IWDS 2.0, and Universal Referral System training. DCEO/OPEH will track recurring training, workflow, and system issues.</w:t>
            </w:r>
          </w:p>
        </w:tc>
      </w:tr>
      <w:tr>
        <w:tc>
          <w:tcPr>
            <w:tcW w:type="dxa" w:w="7229"/>
            <w:vAlign w:val="top"/>
            <w:tcMar>
              <w:top w:w="90" w:type="dxa"/>
              <w:start w:w="105" w:type="dxa"/>
              <w:bottom w:w="80" w:type="dxa"/>
              <w:end w:w="105" w:type="dxa"/>
            </w:tcMar>
            <w:shd w:fill="F7FAFC"/>
          </w:tcPr>
          <w:p>
            <w:pPr>
              <w:spacing w:after="20"/>
            </w:pPr>
            <w:r/>
            <w:r>
              <w:rPr>
                <w:rFonts w:ascii="Aptos" w:hAnsi="Aptos"/>
                <w:b/>
                <w:color w:val="0B7BB2"/>
                <w:sz w:val="21"/>
              </w:rPr>
              <w:t>3. Are monthly TA calls about compliance, learning, or systems change?</w:t>
            </w:r>
          </w:p>
          <w:p>
            <w:pPr>
              <w:spacing w:after="0" w:line="240" w:lineRule="auto"/>
            </w:pPr>
            <w:r>
              <w:rPr>
                <w:rFonts w:ascii="Aptos" w:hAnsi="Aptos"/>
                <w:color w:val="283138"/>
                <w:sz w:val="19"/>
              </w:rPr>
              <w:t>All three may be addressed across the year, but each session will have one clear purpose and intended audience. TA/shared learning is not the same as a monitoring visit.</w:t>
            </w:r>
          </w:p>
        </w:tc>
        <w:tc>
          <w:tcPr>
            <w:tcW w:type="dxa" w:w="7229"/>
            <w:vAlign w:val="top"/>
            <w:tcMar>
              <w:top w:w="90" w:type="dxa"/>
              <w:start w:w="105" w:type="dxa"/>
              <w:bottom w:w="80" w:type="dxa"/>
              <w:end w:w="105" w:type="dxa"/>
            </w:tcMar>
            <w:shd w:fill="F7FAFC"/>
          </w:tcPr>
          <w:p>
            <w:pPr>
              <w:spacing w:after="20"/>
            </w:pPr>
            <w:r/>
            <w:r>
              <w:rPr>
                <w:rFonts w:ascii="Aptos" w:hAnsi="Aptos"/>
                <w:b/>
                <w:color w:val="0B7B83"/>
                <w:sz w:val="21"/>
              </w:rPr>
              <w:t>7. How is Home Illinois TA connecting to broader OET training?</w:t>
            </w:r>
          </w:p>
          <w:p>
            <w:pPr>
              <w:spacing w:after="0" w:line="240" w:lineRule="auto"/>
            </w:pPr>
            <w:r>
              <w:rPr>
                <w:rFonts w:ascii="Aptos" w:hAnsi="Aptos"/>
                <w:color w:val="283138"/>
                <w:sz w:val="19"/>
              </w:rPr>
              <w:t>Home Illinois TA is being aligned with OET’s Event Calendar and statewide training. OET staff, Monitoring, system trainers, and regional experts will join when their expertise directly addresses partner needs.</w:t>
            </w:r>
          </w:p>
        </w:tc>
      </w:tr>
      <w:tr>
        <w:tc>
          <w:tcPr>
            <w:tcW w:type="dxa" w:w="7229"/>
            <w:vAlign w:val="top"/>
            <w:tcMar>
              <w:top w:w="90" w:type="dxa"/>
              <w:start w:w="105" w:type="dxa"/>
              <w:bottom w:w="80" w:type="dxa"/>
              <w:end w:w="105" w:type="dxa"/>
            </w:tcMar>
            <w:shd w:fill="FFFFFF"/>
          </w:tcPr>
          <w:p>
            <w:pPr>
              <w:spacing w:after="20"/>
            </w:pPr>
            <w:r/>
            <w:r>
              <w:rPr>
                <w:rFonts w:ascii="Aptos" w:hAnsi="Aptos"/>
                <w:b/>
                <w:color w:val="0B7BB2"/>
                <w:sz w:val="21"/>
              </w:rPr>
              <w:t>4. How will monitoring reflect the Home Illinois model?</w:t>
            </w:r>
          </w:p>
          <w:p>
            <w:pPr>
              <w:spacing w:after="0" w:line="240" w:lineRule="auto"/>
            </w:pPr>
            <w:r>
              <w:rPr>
                <w:rFonts w:ascii="Aptos" w:hAnsi="Aptos"/>
                <w:color w:val="283138"/>
                <w:sz w:val="19"/>
              </w:rPr>
              <w:t>DCEO/OPEH and Monitoring will clarify what is required for all participants, what applies only when a service occurs, Illinois workNet/data expectations, and best practice. Home Illinois should not automatically look like a traditional WIOA Title I file.</w:t>
            </w:r>
          </w:p>
        </w:tc>
        <w:tc>
          <w:tcPr>
            <w:tcW w:type="dxa" w:w="7229"/>
            <w:vAlign w:val="top"/>
            <w:tcMar>
              <w:top w:w="90" w:type="dxa"/>
              <w:start w:w="105" w:type="dxa"/>
              <w:bottom w:w="80" w:type="dxa"/>
              <w:end w:w="105" w:type="dxa"/>
            </w:tcMar>
            <w:shd w:fill="FFFFFF"/>
          </w:tcPr>
          <w:p>
            <w:pPr>
              <w:spacing w:after="20"/>
            </w:pPr>
            <w:r/>
            <w:r>
              <w:rPr>
                <w:rFonts w:ascii="Aptos" w:hAnsi="Aptos"/>
                <w:b/>
                <w:color w:val="0B7B83"/>
                <w:sz w:val="21"/>
              </w:rPr>
              <w:t>8. What happens after June 2027?</w:t>
            </w:r>
          </w:p>
          <w:p>
            <w:pPr>
              <w:spacing w:after="0" w:line="240" w:lineRule="auto"/>
            </w:pPr>
            <w:r>
              <w:rPr>
                <w:rFonts w:ascii="Aptos" w:hAnsi="Aptos"/>
                <w:color w:val="283138"/>
                <w:sz w:val="19"/>
              </w:rPr>
              <w:t>The goal is not to restart the collaboration. The final year will identify referral relationships, workflows, resource maps, employer practices, tools, recordings, and system improvements worth sustaining. The Home Illinois Toolkit is planned for June 2027.</w:t>
            </w:r>
          </w:p>
        </w:tc>
      </w:tr>
      <w:tr>
        <w:trPr>
          <w:cantSplit/>
        </w:trPr>
        <w:tc>
          <w:tcPr>
            <w:tcW w:type="dxa" w:w="14400"/>
            <w:gridSpan w:val="2"/>
            <w:shd w:fill="F7FAFC"/>
          </w:tcPr>
          <w:p>
            <w:pPr>
              <w:spacing w:before="0" w:after="0" w:line="240" w:lineRule="auto"/>
            </w:pPr>
            <w:r/>
            <w:r>
              <w:rPr>
                <w:rFonts w:ascii="Aptos" w:hAnsi="Aptos"/>
                <w:b/>
                <w:color w:val="0B7BB2"/>
                <w:sz w:val="21"/>
              </w:rPr>
              <w:t>9. Is the Home Illinois Workforce Pilot a federal pass-through grant?</w:t>
            </w:r>
          </w:p>
          <w:p>
            <w:pPr>
              <w:spacing w:before="0" w:after="0" w:line="240" w:lineRule="auto"/>
            </w:pPr>
            <w:r>
              <w:rPr>
                <w:rFonts w:ascii="Aptos" w:hAnsi="Aptos"/>
                <w:color w:val="283138"/>
                <w:sz w:val="19"/>
              </w:rPr>
              <w:t>No. Home Illinois is funded through Illinois' Job Training and Economic Development (JTED) Program, which uses State of Illinois General Revenue Funds - not federal pass-through funds.</w:t>
            </w:r>
          </w:p>
        </w:tc>
      </w:tr>
    </w:tbl>
    <w:p>
      <w:pPr>
        <w:spacing w:before="0" w:after="0" w:line="20" w:lineRule="exact"/>
      </w:pPr>
      <w:r>
        <w:rPr>
          <w:sz w:val="2"/>
        </w:rPr>
      </w:r>
    </w:p>
    <w:tbl>
      <w:tblPr>
        <w:tblW w:type="auto" w:w="0"/>
        <w:jc w:val="center"/>
        <w:tblLook w:firstColumn="1" w:firstRow="1" w:lastColumn="0" w:lastRow="0" w:noHBand="0" w:noVBand="1" w:val="04A0"/>
      </w:tblPr>
      <w:tblGrid>
        <w:gridCol w:w="14458"/>
      </w:tblGrid>
      <w:tr>
        <w:tc>
          <w:tcPr>
            <w:tcW w:type="dxa" w:w="14458"/>
            <w:shd w:fill="EEF6FA"/>
            <w:tcMar>
              <w:top w:w="80" w:type="dxa"/>
              <w:start w:w="110" w:type="dxa"/>
              <w:bottom w:w="80" w:type="dxa"/>
              <w:end w:w="110" w:type="dxa"/>
            </w:tcMar>
          </w:tcPr>
          <w:p>
            <w:pPr>
              <w:spacing w:after="20"/>
            </w:pPr>
            <w:r>
              <w:rPr>
                <w:b/>
                <w:color w:val="0B67B2"/>
                <w:sz w:val="21"/>
              </w:rPr>
              <w:t>ONE PLACE FOR HOME ILLINOIS TA MATERIALS</w:t>
            </w:r>
          </w:p>
          <w:p>
            <w:pPr>
              <w:spacing w:after="20"/>
            </w:pPr>
            <w:r>
              <w:rPr>
                <w:sz w:val="19"/>
              </w:rPr>
              <w:t xml:space="preserve">Recordings, PowerPoints, handouts, guides, job aids, and future toolkit resources: </w:t>
            </w:r>
            <w:hyperlink r:id="rId9">
              <w:r>
                <w:rPr>
                  <w:color w:val="0B67B2"/>
                  <w:u w:val="single"/>
                  <w:sz w:val="21"/>
                </w:rPr>
                <w:t>JTED Home Illinois Training Materials &amp; Webinars</w:t>
              </w:r>
            </w:hyperlink>
          </w:p>
        </w:tc>
      </w:tr>
    </w:tbl>
    <w:sectPr w:rsidR="00FC693F" w:rsidRPr="0006063C" w:rsidSect="00034616">
      <w:footerReference w:type="default" r:id="rId10"/>
      <w:pgSz w:w="15840" w:h="12240" w:orient="landscape"/>
      <w:pgMar w:top="547" w:right="691" w:bottom="547" w:left="6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C6974"/>
        <w:sz w:val="16"/>
      </w:rPr>
      <w:t>Home Illinois Workforce Pilot | Illinois Department of Commerce &amp; Economic Opportunity + Office to Prevent and End Homelessness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D3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illinoisworknet.com/partners/Pages/JTEDHomeILTA.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E52569ECEA4A742A2C5974F57977DA4" ma:contentTypeVersion="5" ma:contentTypeDescription="Create a new document." ma:contentTypeScope="" ma:versionID="79c9f2753a94edf9e8c03015e3e7977f">
  <xsd:schema xmlns:xsd="http://www.w3.org/2001/XMLSchema" xmlns:xs="http://www.w3.org/2001/XMLSchema" xmlns:p="http://schemas.microsoft.com/office/2006/metadata/properties" xmlns:ns1="http://schemas.microsoft.com/sharepoint/v3" targetNamespace="http://schemas.microsoft.com/office/2006/metadata/properties" ma:root="true" ma:fieldsID="ff328a1cd662c37536c074f55b1464a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69C4702-4BF7-4FA9-A11A-8EB510013CE7}"/>
</file>

<file path=customXml/itemProps3.xml><?xml version="1.0" encoding="utf-8"?>
<ds:datastoreItem xmlns:ds="http://schemas.openxmlformats.org/officeDocument/2006/customXml" ds:itemID="{956ECD5E-2458-4549-8BE7-E7EEFB820CA4}"/>
</file>

<file path=customXml/itemProps4.xml><?xml version="1.0" encoding="utf-8"?>
<ds:datastoreItem xmlns:ds="http://schemas.openxmlformats.org/officeDocument/2006/customXml" ds:itemID="{B56469B1-66BB-417A-9C86-7A1556B22486}"/>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0x010100CE52569ECEA4A742A2C5974F57977DA4</vt:lpwstr>
  </property>
</Properties>
</file>