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AEA7F" w14:textId="77777777" w:rsidR="002171E1" w:rsidRPr="006F7A03" w:rsidRDefault="002171E1" w:rsidP="00217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
          <w:bCs/>
          <w:color w:val="262626"/>
        </w:rPr>
      </w:pPr>
      <w:r w:rsidRPr="006F7A03">
        <w:rPr>
          <w:rFonts w:ascii="Calibri" w:hAnsi="Calibri" w:cs="Arial"/>
          <w:b/>
          <w:bCs/>
          <w:color w:val="262626"/>
        </w:rPr>
        <w:t>OVERVIEW</w:t>
      </w:r>
    </w:p>
    <w:p w14:paraId="64030DDC" w14:textId="77777777" w:rsidR="002171E1" w:rsidRPr="00137E80" w:rsidRDefault="002171E1" w:rsidP="00217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color w:val="262626"/>
        </w:rPr>
      </w:pPr>
      <w:r w:rsidRPr="00137E80">
        <w:rPr>
          <w:rFonts w:ascii="Calibri" w:hAnsi="Calibri" w:cs="Arial"/>
          <w:bCs/>
          <w:color w:val="262626"/>
        </w:rPr>
        <w:t>A Sector Partnership is a consortium of employers in one critical industry that come together, convened by an intermediary, to discuss that industry’s shared competitiveness, including identifying common, persistent workforce challenges. No two partnerships are alike, and ideally each region has multiple sector partnerships operating at once, each focused on a different industry.</w:t>
      </w:r>
    </w:p>
    <w:p w14:paraId="64379759" w14:textId="77777777" w:rsidR="002171E1" w:rsidRDefault="002171E1" w:rsidP="002171E1">
      <w:pPr>
        <w:rPr>
          <w:rFonts w:ascii="Calibri" w:hAnsi="Calibri"/>
        </w:rPr>
      </w:pPr>
    </w:p>
    <w:p w14:paraId="43B616C9" w14:textId="77777777" w:rsidR="002171E1" w:rsidRPr="003D4F18" w:rsidRDefault="002171E1" w:rsidP="00217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
          <w:bCs/>
          <w:color w:val="262626"/>
        </w:rPr>
      </w:pPr>
      <w:r w:rsidRPr="003D4F18">
        <w:rPr>
          <w:rFonts w:ascii="Calibri" w:hAnsi="Calibri" w:cs="Arial"/>
          <w:b/>
          <w:bCs/>
          <w:color w:val="262626"/>
        </w:rPr>
        <w:t>WHY SECTOR PARTNE</w:t>
      </w:r>
      <w:r>
        <w:rPr>
          <w:rFonts w:ascii="Calibri" w:hAnsi="Calibri" w:cs="Arial"/>
          <w:b/>
          <w:bCs/>
          <w:color w:val="262626"/>
        </w:rPr>
        <w:t>R</w:t>
      </w:r>
      <w:r w:rsidRPr="003D4F18">
        <w:rPr>
          <w:rFonts w:ascii="Calibri" w:hAnsi="Calibri" w:cs="Arial"/>
          <w:b/>
          <w:bCs/>
          <w:color w:val="262626"/>
        </w:rPr>
        <w:t>SHIPS?</w:t>
      </w:r>
    </w:p>
    <w:p w14:paraId="3B94F49C" w14:textId="77777777" w:rsidR="002171E1" w:rsidRPr="00137E80" w:rsidRDefault="002171E1" w:rsidP="00217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color w:val="262626"/>
        </w:rPr>
      </w:pPr>
      <w:r>
        <w:rPr>
          <w:rFonts w:ascii="Calibri" w:hAnsi="Calibri" w:cs="Arial"/>
          <w:bCs/>
          <w:color w:val="262626"/>
        </w:rPr>
        <w:t xml:space="preserve">Sector partnerships serve two purposes: 1) to align education, training, workforce and economic development in the region to the needs of employers in that sector; and 2) to build long-term career opportunities within the sector for a range of jobseekers and workers. </w:t>
      </w:r>
      <w:r w:rsidRPr="00137E80">
        <w:rPr>
          <w:rFonts w:ascii="Calibri" w:hAnsi="Calibri" w:cs="Arial"/>
          <w:bCs/>
          <w:color w:val="262626"/>
        </w:rPr>
        <w:t>Sector partnerships exist in almost every industry and region of the country, and are gaining ground as the way to do business in the world of workforce, education and economic development</w:t>
      </w:r>
      <w:r>
        <w:rPr>
          <w:rFonts w:ascii="Calibri" w:hAnsi="Calibri" w:cs="Arial"/>
          <w:bCs/>
          <w:color w:val="262626"/>
        </w:rPr>
        <w:t xml:space="preserve">. </w:t>
      </w:r>
      <w:r w:rsidRPr="00137E80">
        <w:rPr>
          <w:rFonts w:ascii="Calibri" w:hAnsi="Calibri" w:cs="Arial"/>
          <w:bCs/>
          <w:color w:val="262626"/>
        </w:rPr>
        <w:t>Best-in-class sector partnerships are partnerships that are long-term</w:t>
      </w:r>
      <w:r>
        <w:rPr>
          <w:rFonts w:ascii="Calibri" w:hAnsi="Calibri" w:cs="Arial"/>
          <w:bCs/>
          <w:color w:val="262626"/>
        </w:rPr>
        <w:t xml:space="preserve">, employer-led </w:t>
      </w:r>
      <w:r w:rsidRPr="00137E80">
        <w:rPr>
          <w:rFonts w:ascii="Calibri" w:hAnsi="Calibri" w:cs="Arial"/>
          <w:bCs/>
          <w:color w:val="262626"/>
        </w:rPr>
        <w:t xml:space="preserve">and evolve with the changing needs of the target industry. </w:t>
      </w:r>
    </w:p>
    <w:p w14:paraId="5C78EB79" w14:textId="77777777" w:rsidR="002171E1" w:rsidRDefault="002171E1" w:rsidP="002171E1">
      <w:pPr>
        <w:rPr>
          <w:rFonts w:ascii="Calibri" w:hAnsi="Calibri"/>
        </w:rPr>
      </w:pPr>
    </w:p>
    <w:p w14:paraId="25EE62E4" w14:textId="77777777" w:rsidR="002171E1" w:rsidRDefault="002171E1" w:rsidP="002171E1">
      <w:pPr>
        <w:rPr>
          <w:rFonts w:ascii="Calibri" w:hAnsi="Calibri"/>
        </w:rPr>
      </w:pPr>
      <w:r>
        <w:rPr>
          <w:rFonts w:ascii="Calibri" w:hAnsi="Calibri"/>
        </w:rPr>
        <w:t xml:space="preserve">While there is no one path to developing a sector partnership, the process typically involves the following general steps: </w:t>
      </w:r>
    </w:p>
    <w:p w14:paraId="455487D0" w14:textId="77777777" w:rsidR="002171E1" w:rsidRDefault="002171E1" w:rsidP="002171E1">
      <w:pPr>
        <w:rPr>
          <w:rFonts w:ascii="Calibri" w:hAnsi="Calibri"/>
        </w:rPr>
      </w:pPr>
    </w:p>
    <w:p w14:paraId="56EB1F3C" w14:textId="77777777" w:rsidR="002171E1" w:rsidRDefault="002171E1" w:rsidP="002171E1">
      <w:pPr>
        <w:pStyle w:val="ColorfulList-Accent11"/>
        <w:numPr>
          <w:ilvl w:val="0"/>
          <w:numId w:val="16"/>
        </w:numPr>
        <w:rPr>
          <w:rFonts w:ascii="Calibri" w:hAnsi="Calibri"/>
          <w:sz w:val="22"/>
        </w:rPr>
      </w:pPr>
      <w:r>
        <w:rPr>
          <w:rFonts w:ascii="Calibri" w:hAnsi="Calibri"/>
          <w:sz w:val="22"/>
        </w:rPr>
        <w:t>Selection of an industry sector (typically one that is growing and with higher-wage occupations)</w:t>
      </w:r>
    </w:p>
    <w:p w14:paraId="151A377C" w14:textId="77777777" w:rsidR="002171E1" w:rsidRDefault="002171E1" w:rsidP="002171E1">
      <w:pPr>
        <w:pStyle w:val="ColorfulList-Accent11"/>
        <w:numPr>
          <w:ilvl w:val="0"/>
          <w:numId w:val="16"/>
        </w:numPr>
        <w:rPr>
          <w:rFonts w:ascii="Calibri" w:hAnsi="Calibri"/>
          <w:sz w:val="22"/>
        </w:rPr>
      </w:pPr>
      <w:r>
        <w:rPr>
          <w:rFonts w:ascii="Calibri" w:hAnsi="Calibri"/>
          <w:sz w:val="22"/>
        </w:rPr>
        <w:t>Identification of an organizing or convening intermediary (e.g. workforce investment board, community college, chamber of commerce, community based organization, or others)</w:t>
      </w:r>
    </w:p>
    <w:p w14:paraId="29CF5F19" w14:textId="77777777" w:rsidR="002171E1" w:rsidRDefault="002171E1" w:rsidP="002171E1">
      <w:pPr>
        <w:pStyle w:val="ColorfulList-Accent11"/>
        <w:numPr>
          <w:ilvl w:val="0"/>
          <w:numId w:val="16"/>
        </w:numPr>
        <w:rPr>
          <w:rFonts w:ascii="Calibri" w:hAnsi="Calibri"/>
          <w:sz w:val="22"/>
        </w:rPr>
      </w:pPr>
      <w:r>
        <w:rPr>
          <w:rFonts w:ascii="Calibri" w:hAnsi="Calibri"/>
          <w:sz w:val="22"/>
        </w:rPr>
        <w:t>Engagement of employers, including two or three “lead champions” who can help recruit their peers to the table</w:t>
      </w:r>
    </w:p>
    <w:p w14:paraId="13800DC3" w14:textId="77777777" w:rsidR="002171E1" w:rsidRPr="000B7F42" w:rsidRDefault="002171E1" w:rsidP="002171E1">
      <w:pPr>
        <w:pStyle w:val="ColorfulList-Accent11"/>
        <w:numPr>
          <w:ilvl w:val="0"/>
          <w:numId w:val="16"/>
        </w:numPr>
        <w:rPr>
          <w:rFonts w:asciiTheme="minorHAnsi" w:hAnsiTheme="minorHAnsi"/>
          <w:sz w:val="22"/>
          <w:szCs w:val="22"/>
        </w:rPr>
      </w:pPr>
      <w:r>
        <w:rPr>
          <w:rFonts w:ascii="Calibri" w:hAnsi="Calibri"/>
          <w:sz w:val="22"/>
        </w:rPr>
        <w:t>Identification and validation of industry skill shortages and the creation of relevant curricula and workforce services</w:t>
      </w:r>
      <w:r w:rsidRPr="000B7F42">
        <w:rPr>
          <w:rFonts w:asciiTheme="minorHAnsi" w:hAnsiTheme="minorHAnsi"/>
          <w:sz w:val="22"/>
          <w:szCs w:val="22"/>
        </w:rPr>
        <w:t>. Other non-workforce activities and solutions</w:t>
      </w:r>
      <w:r>
        <w:rPr>
          <w:rFonts w:asciiTheme="minorHAnsi" w:hAnsiTheme="minorHAnsi"/>
          <w:sz w:val="22"/>
          <w:szCs w:val="22"/>
        </w:rPr>
        <w:t xml:space="preserve"> of importance to employers</w:t>
      </w:r>
      <w:r w:rsidRPr="000B7F42">
        <w:rPr>
          <w:rFonts w:asciiTheme="minorHAnsi" w:hAnsiTheme="minorHAnsi"/>
          <w:sz w:val="22"/>
          <w:szCs w:val="22"/>
        </w:rPr>
        <w:t xml:space="preserve"> </w:t>
      </w:r>
      <w:r>
        <w:rPr>
          <w:rFonts w:asciiTheme="minorHAnsi" w:hAnsiTheme="minorHAnsi"/>
          <w:sz w:val="22"/>
          <w:szCs w:val="22"/>
        </w:rPr>
        <w:t>may be addressed as well</w:t>
      </w:r>
    </w:p>
    <w:p w14:paraId="329CB6DA" w14:textId="77777777" w:rsidR="002171E1" w:rsidRPr="003D4F18" w:rsidRDefault="002171E1" w:rsidP="002171E1">
      <w:pPr>
        <w:pStyle w:val="ColorfulList-Accent11"/>
        <w:numPr>
          <w:ilvl w:val="0"/>
          <w:numId w:val="16"/>
        </w:numPr>
        <w:rPr>
          <w:rFonts w:ascii="Calibri" w:hAnsi="Calibri"/>
          <w:sz w:val="22"/>
        </w:rPr>
      </w:pPr>
      <w:r>
        <w:rPr>
          <w:noProof/>
          <w:lang w:eastAsia="en-US"/>
        </w:rPr>
        <mc:AlternateContent>
          <mc:Choice Requires="wps">
            <w:drawing>
              <wp:anchor distT="45720" distB="45720" distL="114300" distR="114300" simplePos="0" relativeHeight="251658240" behindDoc="0" locked="0" layoutInCell="1" allowOverlap="1" wp14:anchorId="13F23FDD" wp14:editId="4F88CF96">
                <wp:simplePos x="0" y="0"/>
                <wp:positionH relativeFrom="column">
                  <wp:posOffset>-123825</wp:posOffset>
                </wp:positionH>
                <wp:positionV relativeFrom="paragraph">
                  <wp:posOffset>288290</wp:posOffset>
                </wp:positionV>
                <wp:extent cx="8325485" cy="441960"/>
                <wp:effectExtent l="9525" t="12065" r="889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5485" cy="441960"/>
                        </a:xfrm>
                        <a:prstGeom prst="rect">
                          <a:avLst/>
                        </a:prstGeom>
                        <a:solidFill>
                          <a:srgbClr val="FFFFFF"/>
                        </a:solidFill>
                        <a:ln w="9525">
                          <a:solidFill>
                            <a:srgbClr val="000000"/>
                          </a:solidFill>
                          <a:miter lim="800000"/>
                          <a:headEnd/>
                          <a:tailEnd/>
                        </a:ln>
                      </wps:spPr>
                      <wps:txbx>
                        <w:txbxContent>
                          <w:p w14:paraId="699B5601" w14:textId="77777777" w:rsidR="002171E1" w:rsidRPr="003D4F18" w:rsidRDefault="002171E1" w:rsidP="002171E1">
                            <w:pPr>
                              <w:rPr>
                                <w:rFonts w:ascii="Calibri" w:hAnsi="Calibri"/>
                                <w:b/>
                              </w:rPr>
                            </w:pPr>
                            <w:r w:rsidRPr="003D4F18">
                              <w:rPr>
                                <w:rFonts w:ascii="Calibri" w:hAnsi="Calibri"/>
                                <w:b/>
                              </w:rPr>
                              <w:t>While not all successful sector strategies are led by the workforce system as the intermediary, all successful sector strategies include a high-performing, highly-engaged workforce system partner as a “leading” contributor, partner, or principle intermediary</w:t>
                            </w:r>
                            <w:r>
                              <w:rPr>
                                <w:rFonts w:ascii="Calibri" w:hAnsi="Calibri"/>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F23FDD" id="_x0000_t202" coordsize="21600,21600" o:spt="202" path="m,l,21600r21600,l21600,xe">
                <v:stroke joinstyle="miter"/>
                <v:path gradientshapeok="t" o:connecttype="rect"/>
              </v:shapetype>
              <v:shape id="Text Box 2" o:spid="_x0000_s1026" type="#_x0000_t202" style="position:absolute;left:0;text-align:left;margin-left:-9.75pt;margin-top:22.7pt;width:655.55pt;height:34.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">
                <v:textbox style="mso-fit-shape-to-text:t">
                  <w:txbxContent>
                    <w:p w14:paraId="699B5601" w14:textId="77777777" w:rsidR="002171E1" w:rsidRPr="003D4F18" w:rsidRDefault="002171E1" w:rsidP="002171E1">
                      <w:pPr>
                        <w:rPr>
                          <w:rFonts w:ascii="Calibri" w:hAnsi="Calibri"/>
                          <w:b/>
                        </w:rPr>
                      </w:pPr>
                      <w:r w:rsidRPr="003D4F18">
                        <w:rPr>
                          <w:rFonts w:ascii="Calibri" w:hAnsi="Calibri"/>
                          <w:b/>
                        </w:rPr>
                        <w:t>While not all successful sector strategies are led by the workforce system as the intermediary, all successful sector strategies include a high-performing, highly-engaged workforce system partner as a “leading” contributor, partner, or principle intermediary</w:t>
                      </w:r>
                      <w:r>
                        <w:rPr>
                          <w:rFonts w:ascii="Calibri" w:hAnsi="Calibri"/>
                          <w:b/>
                        </w:rPr>
                        <w:t>.</w:t>
                      </w:r>
                    </w:p>
                  </w:txbxContent>
                </v:textbox>
                <w10:wrap type="square"/>
              </v:shape>
            </w:pict>
          </mc:Fallback>
        </mc:AlternateContent>
      </w:r>
      <w:r>
        <w:rPr>
          <w:rFonts w:ascii="Calibri" w:hAnsi="Calibri"/>
          <w:sz w:val="22"/>
        </w:rPr>
        <w:t>Evaluation of the sector partnership’s activities, continuous improvement, and financial sustainability</w:t>
      </w:r>
    </w:p>
    <w:p w14:paraId="411F87D6" w14:textId="77777777" w:rsidR="002171E1" w:rsidRDefault="002171E1" w:rsidP="002171E1">
      <w:pPr>
        <w:rPr>
          <w:rFonts w:ascii="Calibri" w:hAnsi="Calibri"/>
        </w:rPr>
      </w:pPr>
    </w:p>
    <w:p w14:paraId="3C3C8040" w14:textId="77777777" w:rsidR="00700036" w:rsidRDefault="00700036" w:rsidP="002171E1">
      <w:pPr>
        <w:rPr>
          <w:rFonts w:ascii="Calibri" w:hAnsi="Calibri"/>
          <w:b/>
        </w:rPr>
      </w:pPr>
    </w:p>
    <w:p w14:paraId="3A1272A7" w14:textId="77777777" w:rsidR="00700036" w:rsidRDefault="00700036" w:rsidP="002171E1">
      <w:pPr>
        <w:rPr>
          <w:rFonts w:ascii="Calibri" w:hAnsi="Calibri"/>
          <w:b/>
        </w:rPr>
      </w:pPr>
    </w:p>
    <w:p w14:paraId="5B553412" w14:textId="6BFAECC8" w:rsidR="00700036" w:rsidRDefault="00700036" w:rsidP="002171E1">
      <w:pPr>
        <w:rPr>
          <w:rFonts w:ascii="Calibri" w:hAnsi="Calibri"/>
          <w:b/>
        </w:rPr>
      </w:pPr>
    </w:p>
    <w:p w14:paraId="145AA6ED" w14:textId="77777777" w:rsidR="00385A4F" w:rsidRDefault="00385A4F" w:rsidP="002171E1">
      <w:pPr>
        <w:rPr>
          <w:rFonts w:ascii="Calibri" w:hAnsi="Calibri"/>
          <w:b/>
        </w:rPr>
      </w:pPr>
      <w:bookmarkStart w:id="0" w:name="_GoBack"/>
      <w:bookmarkEnd w:id="0"/>
    </w:p>
    <w:p w14:paraId="57FBA522" w14:textId="77777777" w:rsidR="00385A4F" w:rsidRDefault="00385A4F" w:rsidP="002171E1">
      <w:pPr>
        <w:rPr>
          <w:rFonts w:ascii="Calibri" w:hAnsi="Calibri"/>
          <w:b/>
        </w:rPr>
      </w:pPr>
    </w:p>
    <w:p w14:paraId="45E80DA1" w14:textId="01C75B06" w:rsidR="002171E1" w:rsidRDefault="002171E1" w:rsidP="002171E1">
      <w:pPr>
        <w:rPr>
          <w:rFonts w:ascii="Calibri" w:hAnsi="Calibri"/>
          <w:b/>
        </w:rPr>
      </w:pPr>
      <w:r>
        <w:rPr>
          <w:rFonts w:ascii="Calibri" w:hAnsi="Calibri"/>
          <w:b/>
        </w:rPr>
        <w:lastRenderedPageBreak/>
        <w:t xml:space="preserve">INTRODUCTION TO THE </w:t>
      </w:r>
      <w:r w:rsidRPr="00C66DB4">
        <w:rPr>
          <w:rFonts w:ascii="Calibri" w:hAnsi="Calibri"/>
          <w:b/>
          <w:i/>
        </w:rPr>
        <w:t>HIGH-PERFORMING SECTOR-FOCUSED WORKFORCE ORGANIZATION</w:t>
      </w:r>
    </w:p>
    <w:p w14:paraId="725FB952" w14:textId="77777777" w:rsidR="002171E1" w:rsidRDefault="002171E1" w:rsidP="002171E1">
      <w:pPr>
        <w:rPr>
          <w:rFonts w:ascii="Calibri" w:hAnsi="Calibri"/>
          <w:b/>
        </w:rPr>
      </w:pPr>
      <w:r w:rsidRPr="00516C3C">
        <w:rPr>
          <w:rFonts w:ascii="Calibri" w:hAnsi="Calibri"/>
        </w:rPr>
        <w:t xml:space="preserve">A high-performing </w:t>
      </w:r>
      <w:r w:rsidRPr="00DB65BE">
        <w:rPr>
          <w:rFonts w:ascii="Calibri" w:hAnsi="Calibri"/>
          <w:i/>
        </w:rPr>
        <w:t xml:space="preserve">sector-focused </w:t>
      </w:r>
      <w:r>
        <w:rPr>
          <w:rFonts w:ascii="Calibri" w:hAnsi="Calibri"/>
          <w:i/>
        </w:rPr>
        <w:t>workforce organization</w:t>
      </w:r>
      <w:r w:rsidRPr="00516C3C">
        <w:rPr>
          <w:rFonts w:ascii="Calibri" w:hAnsi="Calibri"/>
        </w:rPr>
        <w:t xml:space="preserve"> is one where the principles of sector strategies </w:t>
      </w:r>
      <w:r>
        <w:rPr>
          <w:rFonts w:ascii="Calibri" w:hAnsi="Calibri"/>
        </w:rPr>
        <w:t xml:space="preserve">(supporting industry, aligning resources and programs across workforce systems, and facilitating career mobility for jobseekers and workers) </w:t>
      </w:r>
      <w:r w:rsidRPr="00516C3C">
        <w:rPr>
          <w:rFonts w:ascii="Calibri" w:hAnsi="Calibri"/>
        </w:rPr>
        <w:t xml:space="preserve">are integrated into and across </w:t>
      </w:r>
      <w:r>
        <w:rPr>
          <w:rFonts w:ascii="Calibri" w:hAnsi="Calibri"/>
        </w:rPr>
        <w:t>the organization. Strong industry sector partnership strategies become, thereby, a long-term “way of doing business.”</w:t>
      </w:r>
      <w:r>
        <w:rPr>
          <w:rFonts w:ascii="Calibri" w:hAnsi="Calibri"/>
          <w:b/>
        </w:rPr>
        <w:t xml:space="preserve"> </w:t>
      </w:r>
    </w:p>
    <w:p w14:paraId="5D5564D7" w14:textId="77777777" w:rsidR="002171E1" w:rsidRDefault="002171E1" w:rsidP="002171E1">
      <w:pPr>
        <w:rPr>
          <w:rFonts w:ascii="Calibri" w:hAnsi="Calibri"/>
          <w:b/>
        </w:rPr>
      </w:pPr>
    </w:p>
    <w:p w14:paraId="300A753B" w14:textId="77777777" w:rsidR="002171E1" w:rsidRPr="006F7A03" w:rsidRDefault="002171E1" w:rsidP="002171E1">
      <w:pPr>
        <w:rPr>
          <w:rFonts w:ascii="Calibri" w:hAnsi="Calibri"/>
          <w:b/>
        </w:rPr>
      </w:pPr>
      <w:r>
        <w:rPr>
          <w:rFonts w:ascii="Calibri" w:hAnsi="Calibri"/>
          <w:b/>
        </w:rPr>
        <w:t>SELF-</w:t>
      </w:r>
      <w:r w:rsidRPr="006F7A03">
        <w:rPr>
          <w:rFonts w:ascii="Calibri" w:hAnsi="Calibri"/>
          <w:b/>
        </w:rPr>
        <w:t>ASSESSMENT</w:t>
      </w:r>
      <w:r>
        <w:rPr>
          <w:rFonts w:ascii="Calibri" w:hAnsi="Calibri"/>
          <w:b/>
        </w:rPr>
        <w:t xml:space="preserve"> (ARE YOU READY TO BE A HIGH-PERFORMING SECTOR-FOCUSED ORGANIZATION?)</w:t>
      </w:r>
    </w:p>
    <w:p w14:paraId="1C402C35" w14:textId="77777777" w:rsidR="002171E1" w:rsidRDefault="002171E1" w:rsidP="002171E1">
      <w:pPr>
        <w:rPr>
          <w:rFonts w:ascii="Calibri" w:hAnsi="Calibri"/>
        </w:rPr>
      </w:pPr>
      <w:r w:rsidRPr="006F7A03">
        <w:rPr>
          <w:rFonts w:ascii="Calibri" w:hAnsi="Calibri"/>
        </w:rPr>
        <w:t xml:space="preserve">The following </w:t>
      </w:r>
      <w:r>
        <w:rPr>
          <w:rFonts w:ascii="Calibri" w:hAnsi="Calibri"/>
        </w:rPr>
        <w:t>20-question self-</w:t>
      </w:r>
      <w:r w:rsidRPr="006F7A03">
        <w:rPr>
          <w:rFonts w:ascii="Calibri" w:hAnsi="Calibri"/>
        </w:rPr>
        <w:t xml:space="preserve">assessment measures how </w:t>
      </w:r>
      <w:r w:rsidRPr="006F7A03">
        <w:rPr>
          <w:rFonts w:ascii="Calibri" w:hAnsi="Calibri"/>
          <w:i/>
        </w:rPr>
        <w:t>ready</w:t>
      </w:r>
      <w:r w:rsidRPr="006F7A03">
        <w:rPr>
          <w:rFonts w:ascii="Calibri" w:hAnsi="Calibri"/>
        </w:rPr>
        <w:t xml:space="preserve"> </w:t>
      </w:r>
      <w:r>
        <w:rPr>
          <w:rFonts w:ascii="Calibri" w:hAnsi="Calibri"/>
        </w:rPr>
        <w:t>an organization (a state)</w:t>
      </w:r>
      <w:r w:rsidRPr="006F7A03">
        <w:rPr>
          <w:rFonts w:ascii="Calibri" w:hAnsi="Calibri"/>
        </w:rPr>
        <w:t xml:space="preserve"> is </w:t>
      </w:r>
      <w:r>
        <w:rPr>
          <w:rFonts w:ascii="Calibri" w:hAnsi="Calibri"/>
        </w:rPr>
        <w:t xml:space="preserve">to be this kind of high-performing sector-focused organization (state). The assessment is organized along five broad component areas: </w:t>
      </w:r>
    </w:p>
    <w:p w14:paraId="64ECA393" w14:textId="77777777" w:rsidR="002171E1" w:rsidRDefault="002171E1" w:rsidP="002171E1">
      <w:pPr>
        <w:rPr>
          <w:rFonts w:ascii="Calibri" w:hAnsi="Calibri"/>
        </w:rPr>
      </w:pPr>
    </w:p>
    <w:p w14:paraId="654C32B0" w14:textId="77777777" w:rsidR="002171E1" w:rsidRPr="00C7102F" w:rsidRDefault="002171E1" w:rsidP="002171E1">
      <w:pPr>
        <w:pStyle w:val="ColorfulList-Accent11"/>
        <w:numPr>
          <w:ilvl w:val="0"/>
          <w:numId w:val="18"/>
        </w:numPr>
        <w:rPr>
          <w:rFonts w:asciiTheme="minorHAnsi" w:hAnsiTheme="minorHAnsi" w:cs="Trebuchet MS"/>
          <w:i/>
          <w:sz w:val="22"/>
          <w:szCs w:val="22"/>
        </w:rPr>
      </w:pPr>
      <w:r w:rsidRPr="00C7102F">
        <w:rPr>
          <w:rFonts w:ascii="Calibri" w:hAnsi="Calibri"/>
          <w:b/>
          <w:sz w:val="22"/>
        </w:rPr>
        <w:t>Organizational Capacity</w:t>
      </w:r>
      <w:r w:rsidRPr="00C7102F">
        <w:rPr>
          <w:rFonts w:ascii="Calibri" w:hAnsi="Calibri"/>
          <w:sz w:val="22"/>
        </w:rPr>
        <w:t xml:space="preserve">: </w:t>
      </w:r>
      <w:r w:rsidRPr="00C7102F">
        <w:rPr>
          <w:rFonts w:ascii="Calibri" w:hAnsi="Calibri" w:cs="Trebuchet MS"/>
          <w:i/>
          <w:sz w:val="22"/>
          <w:szCs w:val="26"/>
        </w:rPr>
        <w:t xml:space="preserve">Does your </w:t>
      </w:r>
      <w:r w:rsidRPr="00C7102F">
        <w:rPr>
          <w:rFonts w:asciiTheme="minorHAnsi" w:hAnsiTheme="minorHAnsi" w:cs="Trebuchet MS"/>
          <w:i/>
          <w:sz w:val="22"/>
          <w:szCs w:val="22"/>
        </w:rPr>
        <w:t xml:space="preserve">organization </w:t>
      </w:r>
      <w:r>
        <w:rPr>
          <w:rFonts w:asciiTheme="minorHAnsi" w:hAnsiTheme="minorHAnsi" w:cs="Trebuchet MS"/>
          <w:i/>
          <w:sz w:val="22"/>
          <w:szCs w:val="22"/>
        </w:rPr>
        <w:t>have</w:t>
      </w:r>
      <w:r w:rsidRPr="00C7102F">
        <w:rPr>
          <w:rFonts w:asciiTheme="minorHAnsi" w:hAnsiTheme="minorHAnsi" w:cs="Trebuchet MS"/>
          <w:i/>
          <w:sz w:val="22"/>
          <w:szCs w:val="22"/>
        </w:rPr>
        <w:t xml:space="preserve"> the </w:t>
      </w:r>
      <w:r w:rsidRPr="00C7102F">
        <w:rPr>
          <w:rFonts w:asciiTheme="minorHAnsi" w:hAnsiTheme="minorHAnsi" w:cs="Trebuchet MS"/>
          <w:i/>
          <w:iCs/>
          <w:sz w:val="22"/>
          <w:szCs w:val="22"/>
        </w:rPr>
        <w:t xml:space="preserve">personnel, policies, measures, and resources </w:t>
      </w:r>
      <w:r w:rsidRPr="00C7102F">
        <w:rPr>
          <w:rFonts w:asciiTheme="minorHAnsi" w:hAnsiTheme="minorHAnsi" w:cs="Trebuchet MS"/>
          <w:i/>
          <w:sz w:val="22"/>
          <w:szCs w:val="22"/>
        </w:rPr>
        <w:t xml:space="preserve">in place to support </w:t>
      </w:r>
      <w:r>
        <w:rPr>
          <w:rFonts w:asciiTheme="minorHAnsi" w:hAnsiTheme="minorHAnsi" w:cs="Trebuchet MS"/>
          <w:i/>
          <w:sz w:val="22"/>
          <w:szCs w:val="22"/>
        </w:rPr>
        <w:t>sector strategy outcomes?</w:t>
      </w:r>
    </w:p>
    <w:p w14:paraId="3741868B" w14:textId="440DA55C" w:rsidR="002171E1" w:rsidRPr="00C7102F" w:rsidRDefault="002171E1" w:rsidP="002171E1">
      <w:pPr>
        <w:pStyle w:val="ColorfulList-Accent11"/>
        <w:numPr>
          <w:ilvl w:val="0"/>
          <w:numId w:val="18"/>
        </w:numPr>
        <w:rPr>
          <w:i/>
        </w:rPr>
      </w:pPr>
      <w:r w:rsidRPr="00C7102F">
        <w:rPr>
          <w:rFonts w:ascii="Calibri" w:hAnsi="Calibri"/>
          <w:b/>
          <w:sz w:val="22"/>
        </w:rPr>
        <w:t>Data-Informed Decision Making</w:t>
      </w:r>
      <w:r w:rsidRPr="00C7102F">
        <w:rPr>
          <w:rFonts w:ascii="Calibri" w:hAnsi="Calibri"/>
          <w:sz w:val="22"/>
        </w:rPr>
        <w:t xml:space="preserve">: </w:t>
      </w:r>
      <w:r w:rsidRPr="00C7102F">
        <w:rPr>
          <w:rFonts w:asciiTheme="minorHAnsi" w:hAnsiTheme="minorHAnsi"/>
          <w:i/>
          <w:sz w:val="22"/>
          <w:szCs w:val="22"/>
        </w:rPr>
        <w:t xml:space="preserve">Are your target sectors and identified industry workforce needs </w:t>
      </w:r>
      <w:r w:rsidRPr="00C7102F">
        <w:rPr>
          <w:rFonts w:asciiTheme="minorHAnsi" w:hAnsiTheme="minorHAnsi"/>
          <w:i/>
          <w:iCs/>
          <w:sz w:val="22"/>
          <w:szCs w:val="22"/>
        </w:rPr>
        <w:t xml:space="preserve">data-informed </w:t>
      </w:r>
      <w:r>
        <w:rPr>
          <w:rFonts w:asciiTheme="minorHAnsi" w:hAnsiTheme="minorHAnsi"/>
          <w:i/>
          <w:sz w:val="22"/>
          <w:szCs w:val="22"/>
        </w:rPr>
        <w:t>based on L</w:t>
      </w:r>
      <w:r w:rsidR="00AD26AC">
        <w:rPr>
          <w:rFonts w:asciiTheme="minorHAnsi" w:hAnsiTheme="minorHAnsi"/>
          <w:i/>
          <w:sz w:val="22"/>
          <w:szCs w:val="22"/>
        </w:rPr>
        <w:t xml:space="preserve">abor </w:t>
      </w:r>
      <w:r>
        <w:rPr>
          <w:rFonts w:asciiTheme="minorHAnsi" w:hAnsiTheme="minorHAnsi"/>
          <w:i/>
          <w:sz w:val="22"/>
          <w:szCs w:val="22"/>
        </w:rPr>
        <w:t>M</w:t>
      </w:r>
      <w:r w:rsidR="00AD26AC">
        <w:rPr>
          <w:rFonts w:asciiTheme="minorHAnsi" w:hAnsiTheme="minorHAnsi"/>
          <w:i/>
          <w:sz w:val="22"/>
          <w:szCs w:val="22"/>
        </w:rPr>
        <w:t xml:space="preserve">arket </w:t>
      </w:r>
      <w:r>
        <w:rPr>
          <w:rFonts w:asciiTheme="minorHAnsi" w:hAnsiTheme="minorHAnsi"/>
          <w:i/>
          <w:sz w:val="22"/>
          <w:szCs w:val="22"/>
        </w:rPr>
        <w:t>I</w:t>
      </w:r>
      <w:r w:rsidR="00AD26AC">
        <w:rPr>
          <w:rFonts w:asciiTheme="minorHAnsi" w:hAnsiTheme="minorHAnsi"/>
          <w:i/>
          <w:sz w:val="22"/>
          <w:szCs w:val="22"/>
        </w:rPr>
        <w:t>nformation (LMI)</w:t>
      </w:r>
      <w:r>
        <w:rPr>
          <w:rFonts w:asciiTheme="minorHAnsi" w:hAnsiTheme="minorHAnsi"/>
          <w:i/>
          <w:sz w:val="22"/>
          <w:szCs w:val="22"/>
        </w:rPr>
        <w:t xml:space="preserve">, </w:t>
      </w:r>
      <w:r w:rsidRPr="00C7102F">
        <w:rPr>
          <w:rFonts w:asciiTheme="minorHAnsi" w:hAnsiTheme="minorHAnsi"/>
          <w:i/>
          <w:sz w:val="22"/>
          <w:szCs w:val="22"/>
        </w:rPr>
        <w:t>on-the-ground information</w:t>
      </w:r>
      <w:r>
        <w:rPr>
          <w:rFonts w:asciiTheme="minorHAnsi" w:hAnsiTheme="minorHAnsi"/>
          <w:i/>
          <w:sz w:val="22"/>
          <w:szCs w:val="22"/>
        </w:rPr>
        <w:t xml:space="preserve"> and employer </w:t>
      </w:r>
      <w:r w:rsidRPr="00C7102F">
        <w:rPr>
          <w:rFonts w:asciiTheme="minorHAnsi" w:hAnsiTheme="minorHAnsi"/>
          <w:i/>
          <w:sz w:val="22"/>
          <w:szCs w:val="22"/>
        </w:rPr>
        <w:t>validation</w:t>
      </w:r>
      <w:r>
        <w:rPr>
          <w:rFonts w:asciiTheme="minorHAnsi" w:hAnsiTheme="minorHAnsi"/>
          <w:i/>
          <w:sz w:val="22"/>
          <w:szCs w:val="22"/>
        </w:rPr>
        <w:t>?</w:t>
      </w:r>
    </w:p>
    <w:p w14:paraId="67D35EF5" w14:textId="77777777" w:rsidR="002171E1" w:rsidRPr="00C7102F" w:rsidRDefault="002171E1" w:rsidP="002171E1">
      <w:pPr>
        <w:pStyle w:val="ColorfulList-Accent11"/>
        <w:numPr>
          <w:ilvl w:val="0"/>
          <w:numId w:val="18"/>
        </w:numPr>
        <w:rPr>
          <w:rFonts w:ascii="Calibri" w:hAnsi="Calibri"/>
          <w:sz w:val="22"/>
        </w:rPr>
      </w:pPr>
      <w:r w:rsidRPr="00C7102F">
        <w:rPr>
          <w:rFonts w:ascii="Calibri" w:hAnsi="Calibri"/>
          <w:b/>
          <w:sz w:val="22"/>
        </w:rPr>
        <w:t>Service Design &amp; Alignment</w:t>
      </w:r>
      <w:r w:rsidRPr="00C7102F">
        <w:rPr>
          <w:rFonts w:ascii="Calibri" w:hAnsi="Calibri"/>
          <w:sz w:val="22"/>
        </w:rPr>
        <w:t xml:space="preserve">: </w:t>
      </w:r>
      <w:r w:rsidRPr="00C7102F">
        <w:rPr>
          <w:rFonts w:ascii="Calibri" w:hAnsi="Calibri"/>
          <w:i/>
          <w:sz w:val="22"/>
        </w:rPr>
        <w:t>Is your organization positioned to prepar</w:t>
      </w:r>
      <w:r>
        <w:rPr>
          <w:rFonts w:ascii="Calibri" w:hAnsi="Calibri"/>
          <w:i/>
          <w:sz w:val="22"/>
        </w:rPr>
        <w:t>e</w:t>
      </w:r>
      <w:r w:rsidRPr="00C7102F">
        <w:rPr>
          <w:rFonts w:ascii="Calibri" w:hAnsi="Calibri"/>
          <w:i/>
          <w:sz w:val="22"/>
        </w:rPr>
        <w:t xml:space="preserve"> a qualified, skilled workforce by facilitating the delivery of high-quality </w:t>
      </w:r>
      <w:r>
        <w:rPr>
          <w:rFonts w:ascii="Calibri" w:hAnsi="Calibri"/>
          <w:i/>
          <w:sz w:val="22"/>
        </w:rPr>
        <w:t xml:space="preserve">services and </w:t>
      </w:r>
      <w:r w:rsidRPr="00C7102F">
        <w:rPr>
          <w:rFonts w:ascii="Calibri" w:hAnsi="Calibri"/>
          <w:i/>
          <w:sz w:val="22"/>
        </w:rPr>
        <w:t xml:space="preserve">programs aligned to sector needs? </w:t>
      </w:r>
    </w:p>
    <w:p w14:paraId="32EEBC64" w14:textId="77777777" w:rsidR="002171E1" w:rsidRPr="00C7102F" w:rsidRDefault="002171E1" w:rsidP="002171E1">
      <w:pPr>
        <w:pStyle w:val="ColorfulList-Accent11"/>
        <w:numPr>
          <w:ilvl w:val="0"/>
          <w:numId w:val="18"/>
        </w:numPr>
        <w:rPr>
          <w:rFonts w:asciiTheme="minorHAnsi" w:hAnsiTheme="minorHAnsi"/>
          <w:i/>
          <w:sz w:val="22"/>
          <w:szCs w:val="22"/>
        </w:rPr>
      </w:pPr>
      <w:r w:rsidRPr="00CC3E00">
        <w:rPr>
          <w:rFonts w:ascii="Calibri" w:hAnsi="Calibri"/>
          <w:b/>
          <w:sz w:val="22"/>
        </w:rPr>
        <w:t>Partnerships</w:t>
      </w:r>
      <w:r w:rsidRPr="00CC3E00">
        <w:rPr>
          <w:rFonts w:ascii="Calibri" w:hAnsi="Calibri"/>
          <w:sz w:val="22"/>
        </w:rPr>
        <w:t xml:space="preserve">: </w:t>
      </w:r>
      <w:r w:rsidRPr="00CC3E00">
        <w:rPr>
          <w:rFonts w:ascii="Calibri" w:hAnsi="Calibri"/>
          <w:i/>
          <w:sz w:val="22"/>
        </w:rPr>
        <w:t>Is your organization positioned to</w:t>
      </w:r>
      <w:r>
        <w:rPr>
          <w:rFonts w:ascii="Calibri" w:hAnsi="Calibri"/>
          <w:i/>
          <w:sz w:val="22"/>
        </w:rPr>
        <w:t xml:space="preserve"> </w:t>
      </w:r>
      <w:r w:rsidRPr="00C7102F">
        <w:rPr>
          <w:rFonts w:asciiTheme="minorHAnsi" w:hAnsiTheme="minorHAnsi"/>
          <w:i/>
          <w:sz w:val="22"/>
          <w:szCs w:val="22"/>
        </w:rPr>
        <w:t xml:space="preserve">facilitate a </w:t>
      </w:r>
      <w:r w:rsidRPr="00C7102F">
        <w:rPr>
          <w:rFonts w:asciiTheme="minorHAnsi" w:hAnsiTheme="minorHAnsi"/>
          <w:i/>
          <w:iCs/>
          <w:sz w:val="22"/>
          <w:szCs w:val="22"/>
        </w:rPr>
        <w:t xml:space="preserve">shared sector strategy agenda </w:t>
      </w:r>
      <w:r w:rsidRPr="00C7102F">
        <w:rPr>
          <w:rFonts w:asciiTheme="minorHAnsi" w:hAnsiTheme="minorHAnsi"/>
          <w:i/>
          <w:sz w:val="22"/>
          <w:szCs w:val="22"/>
        </w:rPr>
        <w:t>across employers and sector partners?</w:t>
      </w:r>
    </w:p>
    <w:p w14:paraId="0BBE0493" w14:textId="77777777" w:rsidR="002171E1" w:rsidRPr="00CC3E00" w:rsidRDefault="002171E1" w:rsidP="002171E1">
      <w:pPr>
        <w:pStyle w:val="ColorfulList-Accent11"/>
        <w:numPr>
          <w:ilvl w:val="0"/>
          <w:numId w:val="18"/>
        </w:numPr>
        <w:rPr>
          <w:rFonts w:ascii="Calibri" w:hAnsi="Calibri"/>
          <w:i/>
          <w:sz w:val="22"/>
        </w:rPr>
      </w:pPr>
      <w:r>
        <w:rPr>
          <w:rFonts w:ascii="Calibri" w:hAnsi="Calibri"/>
          <w:b/>
          <w:sz w:val="22"/>
        </w:rPr>
        <w:t>Sustainability &amp; Continuous Improvement:</w:t>
      </w:r>
      <w:r>
        <w:rPr>
          <w:rFonts w:ascii="Calibri" w:hAnsi="Calibri"/>
          <w:i/>
          <w:sz w:val="22"/>
        </w:rPr>
        <w:t xml:space="preserve"> Is your organization able to measure sector partnership outcomes and use that information to drive future performance? Is there financial support to sustain the partnership?</w:t>
      </w:r>
    </w:p>
    <w:p w14:paraId="13C23061" w14:textId="77777777" w:rsidR="002171E1" w:rsidRDefault="002171E1" w:rsidP="002171E1">
      <w:pPr>
        <w:rPr>
          <w:rFonts w:ascii="Calibri" w:hAnsi="Calibri"/>
        </w:rPr>
      </w:pPr>
    </w:p>
    <w:p w14:paraId="1BC6BCD3" w14:textId="77777777" w:rsidR="002171E1" w:rsidRDefault="002171E1" w:rsidP="002171E1">
      <w:pPr>
        <w:rPr>
          <w:rFonts w:ascii="Calibri" w:hAnsi="Calibri"/>
        </w:rPr>
      </w:pPr>
      <w:r>
        <w:rPr>
          <w:rFonts w:ascii="Calibri" w:hAnsi="Calibri"/>
        </w:rPr>
        <w:t xml:space="preserve">The component areas should be viewed as aspirational. They represent the competencies that an organization (state) that is interested in launching or participating in sector partnerships should seek to attain. It is rare that an organization (a state) would excel in all areas. </w:t>
      </w:r>
    </w:p>
    <w:p w14:paraId="3246BE59" w14:textId="77777777" w:rsidR="002171E1" w:rsidRDefault="002171E1" w:rsidP="002171E1">
      <w:pPr>
        <w:rPr>
          <w:rFonts w:ascii="Calibri" w:hAnsi="Calibri"/>
        </w:rPr>
      </w:pPr>
    </w:p>
    <w:p w14:paraId="5F01320C" w14:textId="77777777" w:rsidR="002171E1" w:rsidRPr="00A840DB" w:rsidRDefault="002171E1" w:rsidP="002171E1">
      <w:pPr>
        <w:rPr>
          <w:rFonts w:ascii="Calibri" w:hAnsi="Calibri"/>
        </w:rPr>
      </w:pPr>
      <w:r>
        <w:rPr>
          <w:rFonts w:ascii="Calibri" w:hAnsi="Calibri"/>
        </w:rPr>
        <w:t>It is recommended that multiple individuals from the same organization take the assessment and come together to discuss findings. Upon completion of the assessment, c</w:t>
      </w:r>
      <w:r w:rsidRPr="00A840DB">
        <w:rPr>
          <w:rFonts w:ascii="Calibri" w:hAnsi="Calibri"/>
        </w:rPr>
        <w:t xml:space="preserve">onsider the following questions: </w:t>
      </w:r>
    </w:p>
    <w:p w14:paraId="6879D16F" w14:textId="77777777" w:rsidR="002171E1" w:rsidRPr="00A840DB" w:rsidRDefault="002171E1" w:rsidP="002171E1">
      <w:pPr>
        <w:pStyle w:val="ColorfulList-Accent11"/>
        <w:numPr>
          <w:ilvl w:val="0"/>
          <w:numId w:val="17"/>
        </w:numPr>
        <w:rPr>
          <w:sz w:val="22"/>
        </w:rPr>
      </w:pPr>
      <w:r w:rsidRPr="00A840DB">
        <w:rPr>
          <w:rFonts w:ascii="Calibri" w:hAnsi="Calibri"/>
          <w:sz w:val="22"/>
        </w:rPr>
        <w:t xml:space="preserve">What areas represent our strengths? Why? </w:t>
      </w:r>
    </w:p>
    <w:p w14:paraId="24646F4F" w14:textId="77777777" w:rsidR="002171E1" w:rsidRPr="00A840DB" w:rsidRDefault="002171E1" w:rsidP="002171E1">
      <w:pPr>
        <w:pStyle w:val="ColorfulList-Accent11"/>
        <w:numPr>
          <w:ilvl w:val="0"/>
          <w:numId w:val="17"/>
        </w:numPr>
        <w:rPr>
          <w:sz w:val="22"/>
        </w:rPr>
      </w:pPr>
      <w:r w:rsidRPr="00A840DB">
        <w:rPr>
          <w:rFonts w:ascii="Calibri" w:hAnsi="Calibri"/>
          <w:sz w:val="22"/>
        </w:rPr>
        <w:t xml:space="preserve">What areas represent </w:t>
      </w:r>
      <w:r>
        <w:rPr>
          <w:rFonts w:ascii="Calibri" w:hAnsi="Calibri"/>
          <w:sz w:val="22"/>
        </w:rPr>
        <w:t>learning</w:t>
      </w:r>
      <w:r w:rsidRPr="00A840DB">
        <w:rPr>
          <w:rFonts w:ascii="Calibri" w:hAnsi="Calibri"/>
          <w:sz w:val="22"/>
        </w:rPr>
        <w:t xml:space="preserve"> opportunities? </w:t>
      </w:r>
    </w:p>
    <w:p w14:paraId="3C0EF753" w14:textId="77777777" w:rsidR="002171E1" w:rsidRPr="00A840DB" w:rsidRDefault="002171E1" w:rsidP="002171E1">
      <w:pPr>
        <w:pStyle w:val="ColorfulList-Accent11"/>
        <w:numPr>
          <w:ilvl w:val="0"/>
          <w:numId w:val="17"/>
        </w:numPr>
        <w:rPr>
          <w:sz w:val="22"/>
        </w:rPr>
      </w:pPr>
      <w:r w:rsidRPr="00A840DB">
        <w:rPr>
          <w:rFonts w:ascii="Calibri" w:hAnsi="Calibri"/>
          <w:sz w:val="22"/>
        </w:rPr>
        <w:t>Is there important sector strategy-related work that we are not doing? If so, what?</w:t>
      </w:r>
    </w:p>
    <w:p w14:paraId="125BAAD8" w14:textId="77777777" w:rsidR="00700036" w:rsidRPr="00700036" w:rsidRDefault="002171E1" w:rsidP="000B03B9">
      <w:pPr>
        <w:pStyle w:val="ColorfulList-Accent11"/>
        <w:numPr>
          <w:ilvl w:val="0"/>
          <w:numId w:val="17"/>
        </w:numPr>
        <w:rPr>
          <w:sz w:val="22"/>
        </w:rPr>
      </w:pPr>
      <w:r w:rsidRPr="00700036">
        <w:rPr>
          <w:rFonts w:ascii="Calibri" w:hAnsi="Calibri"/>
          <w:sz w:val="22"/>
        </w:rPr>
        <w:t>Do we have internal disagreements within our organization about our self-assessment scoring? What can we learn from the different perspectives?</w:t>
      </w:r>
    </w:p>
    <w:p w14:paraId="325BCA0C" w14:textId="57527B93" w:rsidR="002171E1" w:rsidRPr="00700036" w:rsidRDefault="002171E1" w:rsidP="000B03B9">
      <w:pPr>
        <w:pStyle w:val="ColorfulList-Accent11"/>
        <w:numPr>
          <w:ilvl w:val="0"/>
          <w:numId w:val="17"/>
        </w:numPr>
        <w:rPr>
          <w:sz w:val="22"/>
        </w:rPr>
      </w:pPr>
      <w:r w:rsidRPr="00700036">
        <w:rPr>
          <w:rFonts w:ascii="Calibri" w:hAnsi="Calibri"/>
          <w:sz w:val="22"/>
        </w:rPr>
        <w:t>What are our priorities for the next year?</w:t>
      </w:r>
    </w:p>
    <w:p w14:paraId="06630C40" w14:textId="77777777" w:rsidR="002171E1" w:rsidRPr="00385A4F" w:rsidRDefault="002171E1" w:rsidP="002171E1">
      <w:pPr>
        <w:contextualSpacing/>
        <w:rPr>
          <w:rFonts w:ascii="Calibri" w:hAnsi="Calibri"/>
          <w:b/>
          <w:bCs/>
        </w:rPr>
      </w:pPr>
      <w:r>
        <w:rPr>
          <w:rFonts w:ascii="Calibri" w:hAnsi="Calibri"/>
        </w:rPr>
        <w:br w:type="page"/>
      </w:r>
      <w:r w:rsidRPr="00385A4F">
        <w:rPr>
          <w:rFonts w:ascii="Calibri" w:hAnsi="Calibri"/>
          <w:b/>
          <w:bCs/>
        </w:rPr>
        <w:lastRenderedPageBreak/>
        <w:t xml:space="preserve">Before taking the assessment please answer the following questions: </w:t>
      </w:r>
    </w:p>
    <w:p w14:paraId="20D99738" w14:textId="77777777" w:rsidR="002171E1" w:rsidRPr="00C3592A" w:rsidRDefault="002171E1" w:rsidP="002171E1">
      <w:pPr>
        <w:contextualSpacing/>
        <w:rPr>
          <w:rFonts w:ascii="Calibri" w:hAnsi="Calibri"/>
          <w:b/>
        </w:rPr>
      </w:pPr>
    </w:p>
    <w:p w14:paraId="568AFA03" w14:textId="77777777" w:rsidR="002171E1" w:rsidRDefault="002171E1" w:rsidP="002171E1">
      <w:pPr>
        <w:numPr>
          <w:ilvl w:val="0"/>
          <w:numId w:val="25"/>
        </w:numPr>
        <w:contextualSpacing/>
        <w:rPr>
          <w:rFonts w:ascii="Calibri" w:hAnsi="Calibri"/>
          <w:b/>
        </w:rPr>
      </w:pPr>
      <w:r>
        <w:rPr>
          <w:rFonts w:ascii="Calibri" w:hAnsi="Calibri"/>
        </w:rPr>
        <w:t>Do you currently have any industry-targeted initiatives that you feel are “</w:t>
      </w:r>
      <w:r>
        <w:rPr>
          <w:rFonts w:ascii="Calibri" w:hAnsi="Calibri"/>
          <w:i/>
        </w:rPr>
        <w:t xml:space="preserve">almost a sector partnership but not quite”? </w:t>
      </w:r>
    </w:p>
    <w:p w14:paraId="2CA6278C" w14:textId="77777777" w:rsidR="002171E1" w:rsidRPr="002812A9" w:rsidRDefault="002171E1" w:rsidP="002171E1">
      <w:pPr>
        <w:numPr>
          <w:ilvl w:val="0"/>
          <w:numId w:val="25"/>
        </w:numPr>
        <w:contextualSpacing/>
        <w:rPr>
          <w:rFonts w:ascii="Calibri" w:hAnsi="Calibri"/>
          <w:b/>
        </w:rPr>
      </w:pPr>
      <w:r w:rsidRPr="002812A9">
        <w:rPr>
          <w:rFonts w:ascii="Calibri" w:hAnsi="Calibri"/>
        </w:rPr>
        <w:t>If Yes: What do you think could be added or strengthened to move it into an active sector partnership, as defined in the Overview and Why a Sector Partnership sections above?</w:t>
      </w:r>
    </w:p>
    <w:p w14:paraId="7D47F342" w14:textId="77777777" w:rsidR="002171E1" w:rsidRDefault="002171E1" w:rsidP="002171E1">
      <w:pPr>
        <w:numPr>
          <w:ilvl w:val="0"/>
          <w:numId w:val="25"/>
        </w:numPr>
        <w:contextualSpacing/>
        <w:rPr>
          <w:rFonts w:ascii="Calibri" w:hAnsi="Calibri"/>
          <w:b/>
        </w:rPr>
      </w:pPr>
      <w:r>
        <w:rPr>
          <w:rFonts w:ascii="Calibri" w:hAnsi="Calibri"/>
        </w:rPr>
        <w:t xml:space="preserve">Do you currently have any active sector partnerships? </w:t>
      </w:r>
    </w:p>
    <w:p w14:paraId="4C4C1D2B" w14:textId="61B5DE48" w:rsidR="002171E1" w:rsidRPr="00700036" w:rsidRDefault="002171E1" w:rsidP="002171E1">
      <w:pPr>
        <w:numPr>
          <w:ilvl w:val="0"/>
          <w:numId w:val="25"/>
        </w:numPr>
        <w:contextualSpacing/>
        <w:rPr>
          <w:rFonts w:ascii="Calibri" w:hAnsi="Calibri"/>
          <w:b/>
        </w:rPr>
      </w:pPr>
      <w:r w:rsidRPr="002812A9">
        <w:rPr>
          <w:rFonts w:ascii="Calibri" w:hAnsi="Calibri"/>
        </w:rPr>
        <w:t xml:space="preserve">If Yes: What active sector partnerships do you have? What industries are you targeting? </w:t>
      </w:r>
    </w:p>
    <w:p w14:paraId="191D6ABE" w14:textId="04E818DB" w:rsidR="00700036" w:rsidRPr="002812A9" w:rsidRDefault="00700036" w:rsidP="00700036">
      <w:pPr>
        <w:ind w:left="720"/>
        <w:contextualSpacing/>
        <w:rPr>
          <w:rFonts w:ascii="Calibri" w:hAnsi="Calibri"/>
          <w:b/>
        </w:rPr>
      </w:pP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r>
        <w:rPr>
          <w:rFonts w:ascii="Calibri" w:hAnsi="Calibri"/>
          <w:b/>
        </w:rPr>
        <w:br/>
      </w:r>
    </w:p>
    <w:p w14:paraId="1F07CD92" w14:textId="77777777" w:rsidR="002171E1" w:rsidRPr="00C3592A" w:rsidRDefault="002171E1" w:rsidP="002171E1">
      <w:pPr>
        <w:rPr>
          <w:rFonts w:ascii="Calibri" w:hAnsi="Calibri"/>
        </w:rPr>
      </w:pPr>
    </w:p>
    <w:p w14:paraId="09661071" w14:textId="77777777" w:rsidR="002171E1" w:rsidRDefault="002171E1" w:rsidP="002171E1">
      <w:pPr>
        <w:jc w:val="center"/>
      </w:pPr>
    </w:p>
    <w:tbl>
      <w:tblPr>
        <w:tblW w:w="13500" w:type="dxa"/>
        <w:tblInd w:w="-1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780"/>
        <w:gridCol w:w="5400"/>
        <w:gridCol w:w="4320"/>
      </w:tblGrid>
      <w:tr w:rsidR="002171E1" w:rsidRPr="009A5D75" w14:paraId="6F24549D" w14:textId="77777777" w:rsidTr="003733D3">
        <w:tc>
          <w:tcPr>
            <w:tcW w:w="3780" w:type="dxa"/>
            <w:tcBorders>
              <w:top w:val="single" w:sz="8" w:space="0" w:color="4F81BD"/>
              <w:left w:val="single" w:sz="8" w:space="0" w:color="4F81BD"/>
              <w:bottom w:val="single" w:sz="18" w:space="0" w:color="4F81BD"/>
              <w:right w:val="single" w:sz="8" w:space="0" w:color="4F81BD"/>
            </w:tcBorders>
            <w:shd w:val="clear" w:color="auto" w:fill="595959"/>
          </w:tcPr>
          <w:p w14:paraId="2B916D95" w14:textId="77777777" w:rsidR="002171E1" w:rsidRPr="009A5D75" w:rsidRDefault="002171E1" w:rsidP="003733D3">
            <w:pPr>
              <w:jc w:val="center"/>
              <w:rPr>
                <w:rFonts w:ascii="Calibri" w:eastAsia="MS Gothic" w:hAnsi="Calibri"/>
                <w:b/>
                <w:bCs/>
                <w:color w:val="FFFFFF"/>
              </w:rPr>
            </w:pPr>
            <w:r>
              <w:rPr>
                <w:rFonts w:ascii="Calibri" w:eastAsia="MS Gothic" w:hAnsi="Calibri"/>
                <w:b/>
                <w:bCs/>
                <w:noProof/>
                <w:color w:val="FFFFFF"/>
                <w:lang w:eastAsia="en-US"/>
              </w:rPr>
              <w:lastRenderedPageBreak/>
              <mc:AlternateContent>
                <mc:Choice Requires="wps">
                  <w:drawing>
                    <wp:anchor distT="0" distB="0" distL="114300" distR="114300" simplePos="0" relativeHeight="251660288" behindDoc="0" locked="0" layoutInCell="1" allowOverlap="1" wp14:anchorId="4E908036" wp14:editId="189385D7">
                      <wp:simplePos x="0" y="0"/>
                      <wp:positionH relativeFrom="column">
                        <wp:posOffset>2204802</wp:posOffset>
                      </wp:positionH>
                      <wp:positionV relativeFrom="paragraph">
                        <wp:posOffset>420279</wp:posOffset>
                      </wp:positionV>
                      <wp:extent cx="415637" cy="504702"/>
                      <wp:effectExtent l="0" t="19050" r="41910" b="29210"/>
                      <wp:wrapNone/>
                      <wp:docPr id="6" name="Right Arrow 6"/>
                      <wp:cNvGraphicFramePr/>
                      <a:graphic xmlns:a="http://schemas.openxmlformats.org/drawingml/2006/main">
                        <a:graphicData uri="http://schemas.microsoft.com/office/word/2010/wordprocessingShape">
                          <wps:wsp>
                            <wps:cNvSpPr/>
                            <wps:spPr>
                              <a:xfrm>
                                <a:off x="0" y="0"/>
                                <a:ext cx="415637" cy="504702"/>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DEF8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73.6pt;margin-top:33.1pt;width:32.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" adj="10800" fillcolor="black [3213]" strokecolor="#243f60 [1604]" strokeweight="2pt"/>
                  </w:pict>
                </mc:Fallback>
              </mc:AlternateContent>
            </w:r>
            <w:r>
              <w:rPr>
                <w:rFonts w:ascii="Calibri" w:eastAsia="MS Gothic" w:hAnsi="Calibri"/>
                <w:b/>
                <w:bCs/>
                <w:color w:val="FFFFFF"/>
              </w:rPr>
              <w:t xml:space="preserve">CAPABILITIES OF A </w:t>
            </w:r>
            <w:r w:rsidRPr="00AA3B5D">
              <w:rPr>
                <w:rFonts w:ascii="Calibri" w:eastAsia="MS Gothic" w:hAnsi="Calibri"/>
                <w:b/>
                <w:bCs/>
                <w:color w:val="FFFFFF"/>
              </w:rPr>
              <w:t xml:space="preserve">HIGH-PERFORMING SECTOR-FOCUSED WORKFORCE </w:t>
            </w:r>
            <w:r>
              <w:rPr>
                <w:rFonts w:ascii="Calibri" w:eastAsia="MS Gothic" w:hAnsi="Calibri"/>
                <w:b/>
                <w:bCs/>
                <w:color w:val="FFFFFF"/>
              </w:rPr>
              <w:t>ORGANIZATION</w:t>
            </w:r>
          </w:p>
        </w:tc>
        <w:tc>
          <w:tcPr>
            <w:tcW w:w="5400" w:type="dxa"/>
            <w:tcBorders>
              <w:top w:val="single" w:sz="8" w:space="0" w:color="4F81BD"/>
              <w:left w:val="single" w:sz="8" w:space="0" w:color="4F81BD"/>
              <w:bottom w:val="single" w:sz="18" w:space="0" w:color="4F81BD"/>
              <w:right w:val="single" w:sz="8" w:space="0" w:color="4F81BD"/>
            </w:tcBorders>
            <w:shd w:val="clear" w:color="auto" w:fill="595959"/>
          </w:tcPr>
          <w:p w14:paraId="0525BF41" w14:textId="77777777" w:rsidR="002171E1" w:rsidRDefault="002171E1" w:rsidP="003733D3">
            <w:pPr>
              <w:jc w:val="center"/>
              <w:rPr>
                <w:rFonts w:ascii="Calibri" w:eastAsia="MS Gothic" w:hAnsi="Calibri"/>
                <w:b/>
                <w:bCs/>
                <w:color w:val="FFFFFF"/>
              </w:rPr>
            </w:pPr>
            <w:r>
              <w:rPr>
                <w:rFonts w:ascii="Calibri" w:eastAsia="MS Gothic" w:hAnsi="Calibri"/>
                <w:b/>
                <w:bCs/>
                <w:noProof/>
                <w:color w:val="FFFFFF"/>
                <w:lang w:eastAsia="en-US"/>
              </w:rPr>
              <mc:AlternateContent>
                <mc:Choice Requires="wps">
                  <w:drawing>
                    <wp:anchor distT="0" distB="0" distL="114300" distR="114300" simplePos="0" relativeHeight="251659264" behindDoc="0" locked="0" layoutInCell="1" allowOverlap="1" wp14:anchorId="6E8243FF" wp14:editId="16778500">
                      <wp:simplePos x="0" y="0"/>
                      <wp:positionH relativeFrom="column">
                        <wp:posOffset>2942540</wp:posOffset>
                      </wp:positionH>
                      <wp:positionV relativeFrom="paragraph">
                        <wp:posOffset>424089</wp:posOffset>
                      </wp:positionV>
                      <wp:extent cx="415637" cy="504702"/>
                      <wp:effectExtent l="0" t="19050" r="41910" b="29210"/>
                      <wp:wrapNone/>
                      <wp:docPr id="3" name="Right Arrow 3"/>
                      <wp:cNvGraphicFramePr/>
                      <a:graphic xmlns:a="http://schemas.openxmlformats.org/drawingml/2006/main">
                        <a:graphicData uri="http://schemas.microsoft.com/office/word/2010/wordprocessingShape">
                          <wps:wsp>
                            <wps:cNvSpPr/>
                            <wps:spPr>
                              <a:xfrm>
                                <a:off x="0" y="0"/>
                                <a:ext cx="415637" cy="504702"/>
                              </a:xfrm>
                              <a:prstGeom prst="right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DC5C9" id="Right Arrow 3" o:spid="_x0000_s1026" type="#_x0000_t13" style="position:absolute;margin-left:231.7pt;margin-top:33.4pt;width:32.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" adj="10800" fillcolor="windowText" strokecolor="#385d8a" strokeweight="2pt"/>
                  </w:pict>
                </mc:Fallback>
              </mc:AlternateContent>
            </w:r>
            <w:r>
              <w:rPr>
                <w:rFonts w:ascii="Calibri" w:eastAsia="MS Gothic" w:hAnsi="Calibri"/>
                <w:b/>
                <w:bCs/>
                <w:color w:val="FFFFFF"/>
              </w:rPr>
              <w:t>IF YOU THINK YOUR ORGANIZATION RATES AS</w:t>
            </w:r>
            <w:r w:rsidRPr="009A5D75">
              <w:rPr>
                <w:rFonts w:ascii="Calibri" w:eastAsia="MS Gothic" w:hAnsi="Calibri"/>
                <w:b/>
                <w:bCs/>
                <w:color w:val="FFFFFF"/>
              </w:rPr>
              <w:t xml:space="preserve"> A “5” </w:t>
            </w:r>
            <w:r>
              <w:rPr>
                <w:rFonts w:ascii="Calibri" w:eastAsia="MS Gothic" w:hAnsi="Calibri"/>
                <w:b/>
                <w:bCs/>
                <w:color w:val="FFFFFF"/>
              </w:rPr>
              <w:t>YOU CONSIDER IT TO HAVE THE FOLLOWING CHARACTERISTICS</w:t>
            </w:r>
          </w:p>
        </w:tc>
        <w:tc>
          <w:tcPr>
            <w:tcW w:w="4320" w:type="dxa"/>
            <w:tcBorders>
              <w:top w:val="single" w:sz="8" w:space="0" w:color="4F81BD"/>
              <w:left w:val="single" w:sz="8" w:space="0" w:color="4F81BD"/>
              <w:bottom w:val="single" w:sz="18" w:space="0" w:color="4F81BD"/>
              <w:right w:val="single" w:sz="8" w:space="0" w:color="4F81BD"/>
            </w:tcBorders>
            <w:shd w:val="clear" w:color="auto" w:fill="595959"/>
          </w:tcPr>
          <w:p w14:paraId="1426D717" w14:textId="77777777" w:rsidR="002171E1" w:rsidRPr="009A5D75" w:rsidRDefault="002171E1" w:rsidP="003733D3">
            <w:pPr>
              <w:jc w:val="center"/>
              <w:rPr>
                <w:rFonts w:ascii="Calibri" w:eastAsia="MS Gothic" w:hAnsi="Calibri"/>
                <w:b/>
                <w:bCs/>
                <w:color w:val="FFFFFF"/>
              </w:rPr>
            </w:pPr>
            <w:r>
              <w:rPr>
                <w:rFonts w:ascii="Calibri" w:eastAsia="MS Gothic" w:hAnsi="Calibri"/>
                <w:b/>
                <w:bCs/>
                <w:color w:val="FFFFFF"/>
              </w:rPr>
              <w:t>RATING</w:t>
            </w:r>
            <w:r w:rsidRPr="009A5D75">
              <w:rPr>
                <w:rFonts w:ascii="Calibri" w:eastAsia="MS Gothic" w:hAnsi="Calibri"/>
                <w:b/>
                <w:bCs/>
                <w:color w:val="FFFFFF"/>
              </w:rPr>
              <w:t xml:space="preserve"> (circle one)</w:t>
            </w:r>
          </w:p>
          <w:p w14:paraId="311642DB" w14:textId="77777777" w:rsidR="002171E1" w:rsidRPr="009A5D75" w:rsidRDefault="002171E1" w:rsidP="003733D3">
            <w:pPr>
              <w:rPr>
                <w:rFonts w:ascii="Calibri" w:eastAsia="MS Gothic" w:hAnsi="Calibri"/>
                <w:bCs/>
                <w:color w:val="FFFFFF"/>
              </w:rPr>
            </w:pPr>
            <w:r w:rsidRPr="009A5D75">
              <w:rPr>
                <w:rFonts w:ascii="Calibri" w:eastAsia="MS Gothic" w:hAnsi="Calibri"/>
                <w:bCs/>
                <w:color w:val="FFFFFF"/>
              </w:rPr>
              <w:t xml:space="preserve">1=Not at all  </w:t>
            </w:r>
          </w:p>
          <w:p w14:paraId="3E0F998F" w14:textId="77777777" w:rsidR="002171E1" w:rsidRPr="009A5D75" w:rsidRDefault="002171E1" w:rsidP="003733D3">
            <w:pPr>
              <w:rPr>
                <w:rFonts w:ascii="Calibri" w:eastAsia="MS Gothic" w:hAnsi="Calibri"/>
                <w:bCs/>
                <w:color w:val="FFFFFF"/>
              </w:rPr>
            </w:pPr>
            <w:r w:rsidRPr="009A5D75">
              <w:rPr>
                <w:rFonts w:ascii="Calibri" w:eastAsia="MS Gothic" w:hAnsi="Calibri"/>
                <w:bCs/>
                <w:color w:val="FFFFFF"/>
              </w:rPr>
              <w:t xml:space="preserve">2=Making progress but long way to go </w:t>
            </w:r>
          </w:p>
          <w:p w14:paraId="7782E028" w14:textId="77777777" w:rsidR="002171E1" w:rsidRPr="009A5D75" w:rsidRDefault="002171E1" w:rsidP="003733D3">
            <w:pPr>
              <w:rPr>
                <w:rFonts w:ascii="Calibri" w:eastAsia="MS Gothic" w:hAnsi="Calibri"/>
                <w:bCs/>
                <w:color w:val="FFFFFF"/>
              </w:rPr>
            </w:pPr>
            <w:r w:rsidRPr="009A5D75">
              <w:rPr>
                <w:rFonts w:ascii="Calibri" w:eastAsia="MS Gothic" w:hAnsi="Calibri"/>
                <w:bCs/>
                <w:color w:val="FFFFFF"/>
              </w:rPr>
              <w:t>3=Have some of this, sometimes</w:t>
            </w:r>
          </w:p>
          <w:p w14:paraId="72DE5D3B" w14:textId="77777777" w:rsidR="002171E1" w:rsidRPr="009A5D75" w:rsidRDefault="002171E1" w:rsidP="003733D3">
            <w:pPr>
              <w:rPr>
                <w:rFonts w:ascii="Calibri" w:eastAsia="MS Gothic" w:hAnsi="Calibri"/>
                <w:bCs/>
                <w:color w:val="FFFFFF"/>
              </w:rPr>
            </w:pPr>
            <w:r w:rsidRPr="009A5D75">
              <w:rPr>
                <w:rFonts w:ascii="Calibri" w:eastAsia="MS Gothic" w:hAnsi="Calibri"/>
                <w:bCs/>
                <w:color w:val="FFFFFF"/>
              </w:rPr>
              <w:t>4=Yes, in place now</w:t>
            </w:r>
          </w:p>
          <w:p w14:paraId="57ABA6A1" w14:textId="77777777" w:rsidR="002171E1" w:rsidRPr="009A5D75" w:rsidRDefault="002171E1" w:rsidP="003733D3">
            <w:pPr>
              <w:tabs>
                <w:tab w:val="left" w:pos="342"/>
              </w:tabs>
              <w:ind w:left="252" w:hanging="252"/>
              <w:rPr>
                <w:rFonts w:ascii="Calibri" w:eastAsia="MS Gothic" w:hAnsi="Calibri"/>
                <w:b/>
                <w:bCs/>
                <w:color w:val="FFFFFF"/>
              </w:rPr>
            </w:pPr>
            <w:r w:rsidRPr="009A5D75">
              <w:rPr>
                <w:rFonts w:ascii="Calibri" w:eastAsia="MS Gothic" w:hAnsi="Calibri"/>
                <w:bCs/>
                <w:color w:val="FFFFFF"/>
              </w:rPr>
              <w:t>5=Not only in place, but we’re excelling here</w:t>
            </w:r>
          </w:p>
        </w:tc>
      </w:tr>
      <w:tr w:rsidR="002171E1" w:rsidRPr="009A5D75" w14:paraId="0489663D" w14:textId="77777777" w:rsidTr="003733D3">
        <w:tc>
          <w:tcPr>
            <w:tcW w:w="13500" w:type="dxa"/>
            <w:gridSpan w:val="3"/>
            <w:tcBorders>
              <w:top w:val="single" w:sz="8" w:space="0" w:color="4F81BD"/>
              <w:left w:val="single" w:sz="8" w:space="0" w:color="4F81BD"/>
              <w:bottom w:val="single" w:sz="8" w:space="0" w:color="4F81BD"/>
              <w:right w:val="single" w:sz="8" w:space="0" w:color="4F81BD"/>
            </w:tcBorders>
            <w:shd w:val="clear" w:color="auto" w:fill="000000" w:themeFill="text1"/>
          </w:tcPr>
          <w:p w14:paraId="5FCEFAFA" w14:textId="77777777" w:rsidR="002171E1" w:rsidRPr="00800B8E" w:rsidRDefault="002171E1" w:rsidP="003733D3">
            <w:pPr>
              <w:pStyle w:val="ColorfulList-Accent11"/>
              <w:ind w:left="0"/>
              <w:rPr>
                <w:rFonts w:ascii="Calibri" w:hAnsi="Calibri"/>
              </w:rPr>
            </w:pPr>
            <w:r w:rsidRPr="00800B8E">
              <w:rPr>
                <w:rFonts w:ascii="Calibri" w:hAnsi="Calibri"/>
                <w:b/>
              </w:rPr>
              <w:t>ORGANIZATIONAL CAPACITY</w:t>
            </w:r>
          </w:p>
          <w:p w14:paraId="227F310C" w14:textId="77777777" w:rsidR="002171E1" w:rsidRPr="00800B8E" w:rsidRDefault="002171E1" w:rsidP="003733D3">
            <w:pPr>
              <w:pStyle w:val="ColorfulList-Accent11"/>
              <w:ind w:left="0"/>
              <w:rPr>
                <w:rFonts w:asciiTheme="minorHAnsi" w:hAnsiTheme="minorHAnsi" w:cs="Trebuchet MS"/>
                <w:i/>
                <w:sz w:val="22"/>
                <w:szCs w:val="22"/>
              </w:rPr>
            </w:pPr>
            <w:r w:rsidRPr="00C7102F">
              <w:rPr>
                <w:rFonts w:ascii="Calibri" w:hAnsi="Calibri" w:cs="Trebuchet MS"/>
                <w:i/>
                <w:sz w:val="22"/>
                <w:szCs w:val="26"/>
              </w:rPr>
              <w:t xml:space="preserve">Does your </w:t>
            </w:r>
            <w:r w:rsidRPr="00C7102F">
              <w:rPr>
                <w:rFonts w:asciiTheme="minorHAnsi" w:hAnsiTheme="minorHAnsi" w:cs="Trebuchet MS"/>
                <w:i/>
                <w:sz w:val="22"/>
                <w:szCs w:val="22"/>
              </w:rPr>
              <w:t xml:space="preserve">organization </w:t>
            </w:r>
            <w:r>
              <w:rPr>
                <w:rFonts w:asciiTheme="minorHAnsi" w:hAnsiTheme="minorHAnsi" w:cs="Trebuchet MS"/>
                <w:i/>
                <w:sz w:val="22"/>
                <w:szCs w:val="22"/>
              </w:rPr>
              <w:t>have</w:t>
            </w:r>
            <w:r w:rsidRPr="00C7102F">
              <w:rPr>
                <w:rFonts w:asciiTheme="minorHAnsi" w:hAnsiTheme="minorHAnsi" w:cs="Trebuchet MS"/>
                <w:i/>
                <w:sz w:val="22"/>
                <w:szCs w:val="22"/>
              </w:rPr>
              <w:t xml:space="preserve"> the </w:t>
            </w:r>
            <w:r w:rsidRPr="00C7102F">
              <w:rPr>
                <w:rFonts w:asciiTheme="minorHAnsi" w:hAnsiTheme="minorHAnsi" w:cs="Trebuchet MS"/>
                <w:i/>
                <w:iCs/>
                <w:sz w:val="22"/>
                <w:szCs w:val="22"/>
              </w:rPr>
              <w:t xml:space="preserve">personnel, policies, measures, and resources </w:t>
            </w:r>
            <w:r w:rsidRPr="00C7102F">
              <w:rPr>
                <w:rFonts w:asciiTheme="minorHAnsi" w:hAnsiTheme="minorHAnsi" w:cs="Trebuchet MS"/>
                <w:i/>
                <w:sz w:val="22"/>
                <w:szCs w:val="22"/>
              </w:rPr>
              <w:t xml:space="preserve">in place to support </w:t>
            </w:r>
            <w:r>
              <w:rPr>
                <w:rFonts w:asciiTheme="minorHAnsi" w:hAnsiTheme="minorHAnsi" w:cs="Trebuchet MS"/>
                <w:i/>
                <w:sz w:val="22"/>
                <w:szCs w:val="22"/>
              </w:rPr>
              <w:t>sector strategy outcomes?</w:t>
            </w:r>
          </w:p>
        </w:tc>
      </w:tr>
      <w:tr w:rsidR="002171E1" w:rsidRPr="009A5D75" w14:paraId="15E19BED"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auto"/>
          </w:tcPr>
          <w:p w14:paraId="2623F393" w14:textId="77777777" w:rsidR="002171E1" w:rsidRPr="009A5D75" w:rsidRDefault="002171E1" w:rsidP="003733D3">
            <w:pPr>
              <w:rPr>
                <w:rFonts w:ascii="Calibri" w:eastAsia="MS Gothic" w:hAnsi="Calibri"/>
                <w:b/>
                <w:bCs/>
              </w:rPr>
            </w:pPr>
            <w:r w:rsidRPr="009A5D75">
              <w:rPr>
                <w:rFonts w:ascii="Calibri" w:eastAsia="MS Gothic" w:hAnsi="Calibri" w:cs="Trebuchet MS"/>
                <w:b/>
                <w:bCs/>
                <w:szCs w:val="26"/>
              </w:rPr>
              <w:t xml:space="preserve">1. Institutional </w:t>
            </w:r>
            <w:r w:rsidRPr="009A5D75">
              <w:rPr>
                <w:rFonts w:ascii="Calibri" w:eastAsia="MS Gothic" w:hAnsi="Calibri" w:cs="Trebuchet MS"/>
                <w:b/>
                <w:bCs/>
                <w:i/>
                <w:szCs w:val="26"/>
              </w:rPr>
              <w:t>culture</w:t>
            </w:r>
            <w:r w:rsidRPr="009A5D75">
              <w:rPr>
                <w:rFonts w:ascii="Calibri" w:eastAsia="MS Gothic" w:hAnsi="Calibri" w:cs="Trebuchet MS"/>
                <w:b/>
                <w:bCs/>
                <w:szCs w:val="26"/>
              </w:rPr>
              <w:t xml:space="preserve"> that supports industry </w:t>
            </w:r>
            <w:r>
              <w:rPr>
                <w:rFonts w:ascii="Calibri" w:eastAsia="MS Gothic" w:hAnsi="Calibri" w:cs="Trebuchet MS"/>
                <w:b/>
                <w:bCs/>
                <w:szCs w:val="26"/>
              </w:rPr>
              <w:t>sector</w:t>
            </w:r>
            <w:r w:rsidRPr="009A5D75">
              <w:rPr>
                <w:rFonts w:ascii="Calibri" w:eastAsia="MS Gothic" w:hAnsi="Calibri" w:cs="Trebuchet MS"/>
                <w:b/>
                <w:bCs/>
                <w:szCs w:val="26"/>
              </w:rPr>
              <w:t xml:space="preserve"> partnerships </w:t>
            </w:r>
          </w:p>
        </w:tc>
        <w:tc>
          <w:tcPr>
            <w:tcW w:w="5400" w:type="dxa"/>
            <w:tcBorders>
              <w:top w:val="single" w:sz="8" w:space="0" w:color="4F81BD"/>
              <w:left w:val="single" w:sz="8" w:space="0" w:color="4F81BD"/>
              <w:bottom w:val="single" w:sz="8" w:space="0" w:color="4F81BD"/>
              <w:right w:val="single" w:sz="8" w:space="0" w:color="4F81BD"/>
            </w:tcBorders>
          </w:tcPr>
          <w:p w14:paraId="4C4417D5" w14:textId="77777777" w:rsidR="002171E1" w:rsidRPr="009A5D75" w:rsidRDefault="002171E1" w:rsidP="002171E1">
            <w:pPr>
              <w:pStyle w:val="ColorfulList-Accent11"/>
              <w:numPr>
                <w:ilvl w:val="0"/>
                <w:numId w:val="4"/>
              </w:numPr>
              <w:spacing w:after="120"/>
              <w:ind w:left="342" w:hanging="270"/>
              <w:rPr>
                <w:rFonts w:ascii="Calibri" w:hAnsi="Calibri" w:cs="Trebuchet MS"/>
                <w:sz w:val="22"/>
                <w:szCs w:val="26"/>
              </w:rPr>
            </w:pPr>
            <w:r w:rsidRPr="009A5D75">
              <w:rPr>
                <w:rFonts w:ascii="Calibri" w:hAnsi="Calibri" w:cs="Trebuchet MS"/>
                <w:sz w:val="22"/>
                <w:szCs w:val="26"/>
              </w:rPr>
              <w:t>Leadership (</w:t>
            </w:r>
            <w:r>
              <w:rPr>
                <w:rFonts w:ascii="Calibri" w:hAnsi="Calibri" w:cs="Trebuchet MS"/>
                <w:sz w:val="22"/>
                <w:szCs w:val="26"/>
              </w:rPr>
              <w:t>executives, board</w:t>
            </w:r>
            <w:r w:rsidRPr="009A5D75">
              <w:rPr>
                <w:rFonts w:ascii="Calibri" w:hAnsi="Calibri" w:cs="Trebuchet MS"/>
                <w:sz w:val="22"/>
                <w:szCs w:val="26"/>
              </w:rPr>
              <w:t xml:space="preserve">) that understands the importance of and </w:t>
            </w:r>
            <w:r w:rsidRPr="00AB7000">
              <w:rPr>
                <w:rFonts w:ascii="Calibri" w:hAnsi="Calibri" w:cs="Trebuchet MS"/>
                <w:i/>
                <w:sz w:val="22"/>
                <w:szCs w:val="26"/>
              </w:rPr>
              <w:t xml:space="preserve">prioritizes </w:t>
            </w:r>
            <w:r w:rsidRPr="009A5D75">
              <w:rPr>
                <w:rFonts w:ascii="Calibri" w:hAnsi="Calibri" w:cs="Trebuchet MS"/>
                <w:sz w:val="22"/>
                <w:szCs w:val="26"/>
              </w:rPr>
              <w:t xml:space="preserve">industry relationships for the purposes of aligning education/training to industry needs </w:t>
            </w:r>
          </w:p>
          <w:p w14:paraId="6B532084" w14:textId="77777777" w:rsidR="002171E1" w:rsidRPr="009A5D75" w:rsidRDefault="002171E1" w:rsidP="002171E1">
            <w:pPr>
              <w:pStyle w:val="ColorfulList-Accent11"/>
              <w:numPr>
                <w:ilvl w:val="0"/>
                <w:numId w:val="4"/>
              </w:numPr>
              <w:spacing w:after="120"/>
              <w:ind w:left="342" w:hanging="270"/>
              <w:rPr>
                <w:rFonts w:ascii="Calibri" w:hAnsi="Calibri" w:cs="Trebuchet MS"/>
                <w:sz w:val="22"/>
                <w:szCs w:val="26"/>
              </w:rPr>
            </w:pPr>
            <w:r w:rsidRPr="009A5D75">
              <w:rPr>
                <w:rFonts w:ascii="Calibri" w:hAnsi="Calibri" w:cs="Trebuchet MS"/>
                <w:sz w:val="22"/>
                <w:szCs w:val="26"/>
              </w:rPr>
              <w:t xml:space="preserve">Strategic plan/mission that emphasizes </w:t>
            </w:r>
            <w:r>
              <w:rPr>
                <w:rFonts w:ascii="Calibri" w:hAnsi="Calibri" w:cs="Trebuchet MS"/>
                <w:sz w:val="22"/>
                <w:szCs w:val="26"/>
              </w:rPr>
              <w:t>the organization’s</w:t>
            </w:r>
            <w:r w:rsidRPr="009A5D75">
              <w:rPr>
                <w:rFonts w:ascii="Calibri" w:hAnsi="Calibri" w:cs="Trebuchet MS"/>
                <w:sz w:val="22"/>
                <w:szCs w:val="26"/>
              </w:rPr>
              <w:t xml:space="preserve"> role in </w:t>
            </w:r>
            <w:r>
              <w:rPr>
                <w:rFonts w:ascii="Calibri" w:hAnsi="Calibri" w:cs="Trebuchet MS"/>
                <w:sz w:val="22"/>
                <w:szCs w:val="26"/>
              </w:rPr>
              <w:t>driving job-driven industry growth</w:t>
            </w:r>
            <w:r w:rsidRPr="009A5D75">
              <w:rPr>
                <w:rFonts w:ascii="Calibri" w:hAnsi="Calibri" w:cs="Trebuchet MS"/>
                <w:sz w:val="22"/>
                <w:szCs w:val="26"/>
              </w:rPr>
              <w:t xml:space="preserve"> </w:t>
            </w:r>
          </w:p>
          <w:p w14:paraId="6F13557F" w14:textId="77777777" w:rsidR="002171E1" w:rsidRPr="009A5D75" w:rsidRDefault="002171E1" w:rsidP="002171E1">
            <w:pPr>
              <w:pStyle w:val="ColorfulList-Accent11"/>
              <w:numPr>
                <w:ilvl w:val="0"/>
                <w:numId w:val="4"/>
              </w:numPr>
              <w:spacing w:after="120"/>
              <w:ind w:left="342" w:hanging="270"/>
              <w:rPr>
                <w:rFonts w:ascii="Calibri" w:hAnsi="Calibri" w:cs="Trebuchet MS"/>
                <w:sz w:val="22"/>
                <w:szCs w:val="26"/>
              </w:rPr>
            </w:pPr>
            <w:r w:rsidRPr="009A5D75">
              <w:rPr>
                <w:rFonts w:ascii="Calibri" w:hAnsi="Calibri" w:cs="Trebuchet MS"/>
                <w:sz w:val="22"/>
                <w:szCs w:val="26"/>
              </w:rPr>
              <w:t xml:space="preserve">The agility and flexibility to make changes to programs and </w:t>
            </w:r>
            <w:r>
              <w:rPr>
                <w:rFonts w:ascii="Calibri" w:hAnsi="Calibri" w:cs="Trebuchet MS"/>
                <w:sz w:val="22"/>
                <w:szCs w:val="26"/>
              </w:rPr>
              <w:t>services</w:t>
            </w:r>
            <w:r w:rsidRPr="009A5D75">
              <w:rPr>
                <w:rFonts w:ascii="Calibri" w:hAnsi="Calibri" w:cs="Trebuchet MS"/>
                <w:sz w:val="22"/>
                <w:szCs w:val="26"/>
              </w:rPr>
              <w:t xml:space="preserve"> as new target industry </w:t>
            </w:r>
            <w:r>
              <w:rPr>
                <w:rFonts w:ascii="Calibri" w:hAnsi="Calibri" w:cs="Trebuchet MS"/>
                <w:sz w:val="22"/>
                <w:szCs w:val="26"/>
              </w:rPr>
              <w:t>workforce and other needs</w:t>
            </w:r>
            <w:r w:rsidRPr="009A5D75">
              <w:rPr>
                <w:rFonts w:ascii="Calibri" w:hAnsi="Calibri" w:cs="Trebuchet MS"/>
                <w:sz w:val="22"/>
                <w:szCs w:val="26"/>
              </w:rPr>
              <w:t xml:space="preserve"> become available</w:t>
            </w:r>
          </w:p>
          <w:p w14:paraId="53C3D88E" w14:textId="77777777" w:rsidR="002171E1" w:rsidRPr="000D5B5A" w:rsidRDefault="002171E1" w:rsidP="002171E1">
            <w:pPr>
              <w:pStyle w:val="ColorfulList-Accent11"/>
              <w:numPr>
                <w:ilvl w:val="0"/>
                <w:numId w:val="4"/>
              </w:numPr>
              <w:spacing w:after="120"/>
              <w:ind w:left="342" w:hanging="270"/>
              <w:rPr>
                <w:rFonts w:ascii="Calibri" w:hAnsi="Calibri" w:cs="Trebuchet MS"/>
                <w:sz w:val="22"/>
                <w:szCs w:val="26"/>
              </w:rPr>
            </w:pPr>
            <w:r>
              <w:rPr>
                <w:rFonts w:ascii="Calibri" w:hAnsi="Calibri" w:cs="Trebuchet MS"/>
                <w:sz w:val="22"/>
                <w:szCs w:val="26"/>
              </w:rPr>
              <w:t>Staff</w:t>
            </w:r>
            <w:r w:rsidRPr="009A5D75">
              <w:rPr>
                <w:rFonts w:ascii="Calibri" w:hAnsi="Calibri" w:cs="Trebuchet MS"/>
                <w:sz w:val="22"/>
                <w:szCs w:val="26"/>
              </w:rPr>
              <w:t xml:space="preserve"> member</w:t>
            </w:r>
            <w:r>
              <w:rPr>
                <w:rFonts w:ascii="Calibri" w:hAnsi="Calibri" w:cs="Trebuchet MS"/>
                <w:sz w:val="22"/>
                <w:szCs w:val="26"/>
              </w:rPr>
              <w:t>s</w:t>
            </w:r>
            <w:r w:rsidRPr="009A5D75">
              <w:rPr>
                <w:rFonts w:ascii="Calibri" w:hAnsi="Calibri" w:cs="Trebuchet MS"/>
                <w:sz w:val="22"/>
                <w:szCs w:val="26"/>
              </w:rPr>
              <w:t xml:space="preserve">, regardless of position, </w:t>
            </w:r>
            <w:r>
              <w:rPr>
                <w:rFonts w:ascii="Calibri" w:hAnsi="Calibri" w:cs="Trebuchet MS"/>
                <w:sz w:val="22"/>
                <w:szCs w:val="26"/>
              </w:rPr>
              <w:t>who understand their role and are</w:t>
            </w:r>
            <w:r w:rsidRPr="009A5D75">
              <w:rPr>
                <w:rFonts w:ascii="Calibri" w:hAnsi="Calibri" w:cs="Trebuchet MS"/>
                <w:sz w:val="22"/>
                <w:szCs w:val="26"/>
              </w:rPr>
              <w:t xml:space="preserve"> accountable for </w:t>
            </w:r>
            <w:r>
              <w:rPr>
                <w:rFonts w:ascii="Calibri" w:hAnsi="Calibri" w:cs="Trebuchet MS"/>
                <w:sz w:val="22"/>
                <w:szCs w:val="26"/>
              </w:rPr>
              <w:t>serving industry needs</w:t>
            </w:r>
          </w:p>
          <w:p w14:paraId="1B579D53" w14:textId="77777777" w:rsidR="002171E1" w:rsidRDefault="002171E1" w:rsidP="002171E1">
            <w:pPr>
              <w:pStyle w:val="ColorfulList-Accent11"/>
              <w:numPr>
                <w:ilvl w:val="0"/>
                <w:numId w:val="4"/>
              </w:numPr>
              <w:spacing w:after="120"/>
              <w:ind w:left="342" w:hanging="270"/>
              <w:rPr>
                <w:rFonts w:ascii="Calibri" w:hAnsi="Calibri" w:cs="Trebuchet MS"/>
                <w:sz w:val="22"/>
                <w:szCs w:val="26"/>
              </w:rPr>
            </w:pPr>
            <w:r>
              <w:rPr>
                <w:rFonts w:ascii="Calibri" w:hAnsi="Calibri" w:cs="Trebuchet MS"/>
                <w:sz w:val="22"/>
                <w:szCs w:val="26"/>
              </w:rPr>
              <w:t>Staff who consider t</w:t>
            </w:r>
            <w:r w:rsidRPr="000D5B5A">
              <w:rPr>
                <w:rFonts w:ascii="Calibri" w:hAnsi="Calibri" w:cs="Trebuchet MS"/>
                <w:sz w:val="22"/>
                <w:szCs w:val="26"/>
              </w:rPr>
              <w:t xml:space="preserve">he </w:t>
            </w:r>
            <w:r>
              <w:rPr>
                <w:rFonts w:ascii="Calibri" w:hAnsi="Calibri" w:cs="Trebuchet MS"/>
                <w:sz w:val="22"/>
                <w:szCs w:val="26"/>
              </w:rPr>
              <w:t>workforce system’s</w:t>
            </w:r>
            <w:r w:rsidRPr="000D5B5A">
              <w:rPr>
                <w:rFonts w:ascii="Calibri" w:hAnsi="Calibri" w:cs="Trebuchet MS"/>
                <w:sz w:val="22"/>
                <w:szCs w:val="26"/>
              </w:rPr>
              <w:t xml:space="preserve"> success in regional sector </w:t>
            </w:r>
            <w:r>
              <w:rPr>
                <w:rFonts w:ascii="Calibri" w:hAnsi="Calibri" w:cs="Trebuchet MS"/>
                <w:sz w:val="22"/>
                <w:szCs w:val="26"/>
              </w:rPr>
              <w:t>as essential to meeting any program performance mea</w:t>
            </w:r>
            <w:r w:rsidRPr="000D5B5A">
              <w:rPr>
                <w:rFonts w:ascii="Calibri" w:hAnsi="Calibri" w:cs="Trebuchet MS"/>
                <w:sz w:val="22"/>
                <w:szCs w:val="26"/>
              </w:rPr>
              <w:t>sures</w:t>
            </w:r>
          </w:p>
          <w:p w14:paraId="0B3B358C" w14:textId="77777777" w:rsidR="002171E1" w:rsidRPr="008C764D" w:rsidRDefault="002171E1" w:rsidP="002171E1">
            <w:pPr>
              <w:pStyle w:val="ColorfulList-Accent11"/>
              <w:numPr>
                <w:ilvl w:val="0"/>
                <w:numId w:val="4"/>
              </w:numPr>
              <w:spacing w:after="120"/>
              <w:ind w:left="342" w:hanging="270"/>
              <w:rPr>
                <w:rFonts w:ascii="Calibri" w:hAnsi="Calibri" w:cs="Trebuchet MS"/>
                <w:sz w:val="22"/>
                <w:szCs w:val="26"/>
              </w:rPr>
            </w:pPr>
            <w:r w:rsidRPr="008C764D">
              <w:rPr>
                <w:rFonts w:ascii="Calibri" w:hAnsi="Calibri" w:cs="Trebuchet MS"/>
                <w:sz w:val="22"/>
                <w:szCs w:val="26"/>
              </w:rPr>
              <w:t>Leadership and staff that recognize the importance of listening to and implementing actions developed by employers</w:t>
            </w:r>
          </w:p>
        </w:tc>
        <w:tc>
          <w:tcPr>
            <w:tcW w:w="4320" w:type="dxa"/>
            <w:tcBorders>
              <w:top w:val="single" w:sz="8" w:space="0" w:color="4F81BD"/>
              <w:left w:val="single" w:sz="8" w:space="0" w:color="4F81BD"/>
              <w:bottom w:val="single" w:sz="8" w:space="0" w:color="4F81BD"/>
              <w:right w:val="single" w:sz="8" w:space="0" w:color="4F81BD"/>
            </w:tcBorders>
            <w:shd w:val="clear" w:color="auto" w:fill="auto"/>
          </w:tcPr>
          <w:p w14:paraId="7981FEC4" w14:textId="77777777" w:rsidR="002171E1" w:rsidRPr="009A5D75" w:rsidRDefault="002171E1" w:rsidP="003733D3">
            <w:pPr>
              <w:jc w:val="center"/>
              <w:rPr>
                <w:rFonts w:ascii="Calibri" w:hAnsi="Calibri"/>
                <w:b/>
              </w:rPr>
            </w:pPr>
            <w:r w:rsidRPr="009A5D75">
              <w:rPr>
                <w:rFonts w:ascii="Calibri" w:hAnsi="Calibri"/>
                <w:b/>
              </w:rPr>
              <w:t>1          2          3          4          5</w:t>
            </w:r>
          </w:p>
          <w:p w14:paraId="265F2AE0" w14:textId="77777777" w:rsidR="002171E1" w:rsidRPr="009A5D75" w:rsidRDefault="002171E1" w:rsidP="003733D3">
            <w:pPr>
              <w:rPr>
                <w:rFonts w:ascii="Calibri" w:hAnsi="Calibri"/>
                <w:i/>
              </w:rPr>
            </w:pPr>
            <w:r w:rsidRPr="009A5D75">
              <w:rPr>
                <w:rFonts w:ascii="Calibri" w:hAnsi="Calibri"/>
                <w:i/>
              </w:rPr>
              <w:t>Describe rating briefly:</w:t>
            </w:r>
          </w:p>
          <w:p w14:paraId="2BFCA20D" w14:textId="77777777" w:rsidR="002171E1" w:rsidRPr="009A5D75" w:rsidRDefault="002171E1" w:rsidP="003733D3">
            <w:pPr>
              <w:rPr>
                <w:rFonts w:ascii="Calibri" w:hAnsi="Calibri"/>
                <w:i/>
              </w:rPr>
            </w:pPr>
          </w:p>
        </w:tc>
      </w:tr>
      <w:tr w:rsidR="002171E1" w:rsidRPr="009A5D75" w14:paraId="5BAF1FC4" w14:textId="77777777" w:rsidTr="003733D3">
        <w:trPr>
          <w:trHeight w:val="1960"/>
        </w:trPr>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0B27865A" w14:textId="77777777" w:rsidR="002171E1" w:rsidRDefault="002171E1" w:rsidP="003733D3">
            <w:pPr>
              <w:rPr>
                <w:rFonts w:ascii="Calibri" w:eastAsia="MS Gothic" w:hAnsi="Calibri" w:cs="Trebuchet MS"/>
                <w:b/>
                <w:bCs/>
                <w:szCs w:val="26"/>
              </w:rPr>
            </w:pPr>
            <w:r>
              <w:rPr>
                <w:rFonts w:ascii="Calibri" w:eastAsia="MS Gothic" w:hAnsi="Calibri" w:cs="Trebuchet MS"/>
                <w:b/>
                <w:bCs/>
                <w:szCs w:val="26"/>
              </w:rPr>
              <w:lastRenderedPageBreak/>
              <w:t>2</w:t>
            </w:r>
            <w:r w:rsidRPr="009A5D75">
              <w:rPr>
                <w:rFonts w:ascii="Calibri" w:eastAsia="MS Gothic" w:hAnsi="Calibri" w:cs="Trebuchet MS"/>
                <w:b/>
                <w:bCs/>
                <w:szCs w:val="26"/>
              </w:rPr>
              <w:t xml:space="preserve">. </w:t>
            </w:r>
            <w:r>
              <w:rPr>
                <w:rFonts w:ascii="Calibri" w:eastAsia="MS Gothic" w:hAnsi="Calibri" w:cs="Trebuchet MS"/>
                <w:b/>
                <w:bCs/>
                <w:szCs w:val="26"/>
              </w:rPr>
              <w:t>Organizational structure that serves industries and workforces within a sector strategy framework</w:t>
            </w:r>
          </w:p>
          <w:p w14:paraId="0659E777" w14:textId="77777777" w:rsidR="002171E1" w:rsidRDefault="002171E1" w:rsidP="003733D3">
            <w:pPr>
              <w:rPr>
                <w:rFonts w:ascii="Calibri" w:eastAsia="MS Gothic" w:hAnsi="Calibri" w:cs="Trebuchet MS"/>
                <w:b/>
                <w:bCs/>
                <w:szCs w:val="26"/>
              </w:rPr>
            </w:pPr>
          </w:p>
          <w:p w14:paraId="42117F9F" w14:textId="77777777" w:rsidR="002171E1" w:rsidRPr="009A5D75" w:rsidRDefault="002171E1" w:rsidP="003733D3">
            <w:pPr>
              <w:rPr>
                <w:rFonts w:ascii="Calibri" w:eastAsia="MS Gothic" w:hAnsi="Calibri"/>
                <w:b/>
                <w:bCs/>
              </w:rPr>
            </w:pP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3459C3DD" w14:textId="77777777" w:rsidR="002171E1" w:rsidRPr="003D4F18" w:rsidRDefault="002171E1" w:rsidP="002171E1">
            <w:pPr>
              <w:pStyle w:val="ColorfulList-Accent11"/>
              <w:numPr>
                <w:ilvl w:val="0"/>
                <w:numId w:val="4"/>
              </w:numPr>
              <w:ind w:left="342" w:hanging="270"/>
              <w:rPr>
                <w:rFonts w:ascii="Calibri" w:hAnsi="Calibri"/>
                <w:sz w:val="22"/>
                <w:szCs w:val="22"/>
              </w:rPr>
            </w:pPr>
            <w:r w:rsidRPr="003D4F18">
              <w:rPr>
                <w:rFonts w:ascii="Calibri" w:hAnsi="Calibri"/>
                <w:sz w:val="22"/>
                <w:szCs w:val="22"/>
              </w:rPr>
              <w:t xml:space="preserve">Staff with an explicit role, not only to foster business relationships, but to examine, across businesses, broader industry workforce trends </w:t>
            </w:r>
          </w:p>
          <w:p w14:paraId="72BBCB9A" w14:textId="77777777" w:rsidR="002171E1" w:rsidRDefault="002171E1" w:rsidP="002171E1">
            <w:pPr>
              <w:pStyle w:val="ColorfulList-Accent11"/>
              <w:numPr>
                <w:ilvl w:val="0"/>
                <w:numId w:val="4"/>
              </w:numPr>
              <w:ind w:left="342" w:hanging="270"/>
              <w:rPr>
                <w:rFonts w:ascii="Calibri" w:hAnsi="Calibri"/>
                <w:sz w:val="22"/>
                <w:szCs w:val="22"/>
              </w:rPr>
            </w:pPr>
            <w:r>
              <w:rPr>
                <w:rFonts w:ascii="Calibri" w:hAnsi="Calibri"/>
                <w:sz w:val="22"/>
                <w:szCs w:val="22"/>
              </w:rPr>
              <w:t>The organization’s b</w:t>
            </w:r>
            <w:r w:rsidRPr="003D4F18">
              <w:rPr>
                <w:rFonts w:ascii="Calibri" w:hAnsi="Calibri"/>
                <w:sz w:val="22"/>
                <w:szCs w:val="22"/>
              </w:rPr>
              <w:t>oard</w:t>
            </w:r>
            <w:r>
              <w:rPr>
                <w:rFonts w:ascii="Calibri" w:hAnsi="Calibri"/>
                <w:sz w:val="22"/>
                <w:szCs w:val="22"/>
              </w:rPr>
              <w:t xml:space="preserve"> includes</w:t>
            </w:r>
            <w:r w:rsidRPr="003D4F18">
              <w:rPr>
                <w:rFonts w:ascii="Calibri" w:hAnsi="Calibri"/>
                <w:sz w:val="22"/>
                <w:szCs w:val="22"/>
              </w:rPr>
              <w:t xml:space="preserve"> </w:t>
            </w:r>
            <w:r>
              <w:rPr>
                <w:rFonts w:ascii="Calibri" w:hAnsi="Calibri"/>
                <w:sz w:val="22"/>
                <w:szCs w:val="22"/>
              </w:rPr>
              <w:t xml:space="preserve">private sector representatives that </w:t>
            </w:r>
            <w:r w:rsidRPr="003D4F18">
              <w:rPr>
                <w:rFonts w:ascii="Calibri" w:hAnsi="Calibri"/>
                <w:sz w:val="22"/>
                <w:szCs w:val="22"/>
              </w:rPr>
              <w:t>reflects target industry mix</w:t>
            </w:r>
          </w:p>
          <w:p w14:paraId="297EB660" w14:textId="77777777" w:rsidR="002171E1" w:rsidRPr="008C764D" w:rsidRDefault="002171E1" w:rsidP="002171E1">
            <w:pPr>
              <w:pStyle w:val="ColorfulList-Accent11"/>
              <w:numPr>
                <w:ilvl w:val="0"/>
                <w:numId w:val="4"/>
              </w:numPr>
              <w:ind w:left="342" w:hanging="270"/>
              <w:rPr>
                <w:rFonts w:ascii="Calibri" w:hAnsi="Calibri"/>
                <w:sz w:val="22"/>
                <w:szCs w:val="22"/>
              </w:rPr>
            </w:pPr>
            <w:r w:rsidRPr="003D4F18">
              <w:rPr>
                <w:rFonts w:ascii="Calibri" w:eastAsia="Times New Roman" w:hAnsi="Calibri"/>
                <w:sz w:val="22"/>
                <w:szCs w:val="22"/>
                <w:lang w:eastAsia="en-US"/>
              </w:rPr>
              <w:t>Administrative structure/policy supports sector partnerships (e.g. sector partnership</w:t>
            </w:r>
            <w:r>
              <w:rPr>
                <w:rFonts w:ascii="Calibri" w:eastAsia="Times New Roman" w:hAnsi="Calibri"/>
                <w:sz w:val="22"/>
                <w:szCs w:val="22"/>
                <w:lang w:eastAsia="en-US"/>
              </w:rPr>
              <w:t xml:space="preserve">s are explicitly built into organization’s policy goals as the way to engage with target industries; or oversight and coordination of a sector partnership </w:t>
            </w:r>
            <w:r w:rsidRPr="003D4F18">
              <w:rPr>
                <w:rFonts w:ascii="Calibri" w:eastAsia="Times New Roman" w:hAnsi="Calibri"/>
                <w:sz w:val="22"/>
                <w:szCs w:val="22"/>
                <w:lang w:eastAsia="en-US"/>
              </w:rPr>
              <w:t xml:space="preserve">is part of an existing committee reporting to the </w:t>
            </w:r>
            <w:r>
              <w:rPr>
                <w:rFonts w:ascii="Calibri" w:eastAsia="Times New Roman" w:hAnsi="Calibri"/>
                <w:sz w:val="22"/>
                <w:szCs w:val="22"/>
                <w:lang w:eastAsia="en-US"/>
              </w:rPr>
              <w:t xml:space="preserve">organization’s Board or </w:t>
            </w:r>
            <w:r w:rsidRPr="003D4F18">
              <w:rPr>
                <w:rFonts w:ascii="Calibri" w:eastAsia="Times New Roman" w:hAnsi="Calibri"/>
                <w:sz w:val="22"/>
                <w:szCs w:val="22"/>
                <w:lang w:eastAsia="en-US"/>
              </w:rPr>
              <w:t>executive committee)</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7D275C36" w14:textId="77777777" w:rsidR="002171E1" w:rsidRPr="009A5D75" w:rsidRDefault="002171E1" w:rsidP="003733D3">
            <w:pPr>
              <w:jc w:val="center"/>
              <w:rPr>
                <w:rFonts w:ascii="Calibri" w:hAnsi="Calibri"/>
                <w:b/>
              </w:rPr>
            </w:pPr>
            <w:r w:rsidRPr="009A5D75">
              <w:rPr>
                <w:rFonts w:ascii="Calibri" w:hAnsi="Calibri"/>
                <w:b/>
              </w:rPr>
              <w:t>1          2          3          4          5</w:t>
            </w:r>
          </w:p>
          <w:p w14:paraId="21A1FCF9" w14:textId="77777777" w:rsidR="002171E1" w:rsidRDefault="002171E1" w:rsidP="003733D3">
            <w:pPr>
              <w:rPr>
                <w:rFonts w:ascii="Calibri" w:hAnsi="Calibri"/>
                <w:i/>
              </w:rPr>
            </w:pPr>
            <w:r w:rsidRPr="009A5D75">
              <w:rPr>
                <w:rFonts w:ascii="Calibri" w:hAnsi="Calibri"/>
                <w:i/>
              </w:rPr>
              <w:t>Describe rating briefly:</w:t>
            </w:r>
          </w:p>
          <w:p w14:paraId="5E72A643" w14:textId="77777777" w:rsidR="002171E1" w:rsidRDefault="002171E1" w:rsidP="003733D3">
            <w:pPr>
              <w:rPr>
                <w:rFonts w:ascii="Calibri" w:hAnsi="Calibri"/>
                <w:i/>
              </w:rPr>
            </w:pPr>
          </w:p>
          <w:p w14:paraId="6F612EF4" w14:textId="77777777" w:rsidR="002171E1" w:rsidRDefault="002171E1" w:rsidP="003733D3">
            <w:pPr>
              <w:rPr>
                <w:rFonts w:ascii="Calibri" w:hAnsi="Calibri"/>
                <w:i/>
              </w:rPr>
            </w:pPr>
          </w:p>
          <w:p w14:paraId="7E5345F1" w14:textId="77777777" w:rsidR="002171E1" w:rsidRPr="00034D83" w:rsidRDefault="002171E1" w:rsidP="003733D3">
            <w:pPr>
              <w:rPr>
                <w:rFonts w:ascii="Calibri" w:hAnsi="Calibri"/>
                <w:i/>
              </w:rPr>
            </w:pPr>
          </w:p>
        </w:tc>
      </w:tr>
      <w:tr w:rsidR="002171E1" w:rsidRPr="009A5D75" w14:paraId="4FA4A9CC"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auto"/>
          </w:tcPr>
          <w:p w14:paraId="68628DB9"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t>3</w:t>
            </w:r>
            <w:r w:rsidRPr="009A5D75">
              <w:rPr>
                <w:rFonts w:ascii="Calibri" w:eastAsia="MS Gothic" w:hAnsi="Calibri" w:cs="Trebuchet MS"/>
                <w:b/>
                <w:bCs/>
                <w:szCs w:val="26"/>
              </w:rPr>
              <w:t xml:space="preserve">. </w:t>
            </w:r>
            <w:r>
              <w:rPr>
                <w:rFonts w:ascii="Calibri" w:eastAsia="MS Gothic" w:hAnsi="Calibri" w:cs="Trebuchet MS"/>
                <w:b/>
                <w:bCs/>
                <w:szCs w:val="26"/>
              </w:rPr>
              <w:t xml:space="preserve">Staff that are knowledgeable about current target industries and have opportunities to hone knowledge as targets change </w:t>
            </w:r>
          </w:p>
        </w:tc>
        <w:tc>
          <w:tcPr>
            <w:tcW w:w="5400" w:type="dxa"/>
            <w:tcBorders>
              <w:top w:val="single" w:sz="8" w:space="0" w:color="4F81BD"/>
              <w:left w:val="single" w:sz="8" w:space="0" w:color="4F81BD"/>
              <w:bottom w:val="single" w:sz="8" w:space="0" w:color="4F81BD"/>
              <w:right w:val="single" w:sz="8" w:space="0" w:color="4F81BD"/>
            </w:tcBorders>
          </w:tcPr>
          <w:p w14:paraId="27E3E526" w14:textId="77777777" w:rsidR="002171E1" w:rsidRPr="003D4F18" w:rsidRDefault="002171E1" w:rsidP="002171E1">
            <w:pPr>
              <w:pStyle w:val="ColorfulList-Accent11"/>
              <w:numPr>
                <w:ilvl w:val="0"/>
                <w:numId w:val="4"/>
              </w:numPr>
              <w:spacing w:after="120"/>
              <w:ind w:left="342" w:hanging="270"/>
              <w:rPr>
                <w:rFonts w:ascii="Calibri" w:hAnsi="Calibri"/>
                <w:sz w:val="22"/>
                <w:szCs w:val="22"/>
              </w:rPr>
            </w:pPr>
            <w:r w:rsidRPr="003D4F18">
              <w:rPr>
                <w:rFonts w:ascii="Calibri" w:hAnsi="Calibri"/>
                <w:sz w:val="22"/>
                <w:szCs w:val="22"/>
              </w:rPr>
              <w:t>Staff that have ample opportunities to attend targeted industry-related professional development events for the purposes of staying fresh on technologies</w:t>
            </w:r>
            <w:r>
              <w:rPr>
                <w:rFonts w:ascii="Calibri" w:hAnsi="Calibri"/>
                <w:sz w:val="22"/>
                <w:szCs w:val="22"/>
              </w:rPr>
              <w:t>, growth trends,</w:t>
            </w:r>
            <w:r w:rsidRPr="003D4F18">
              <w:rPr>
                <w:rFonts w:ascii="Calibri" w:hAnsi="Calibri"/>
                <w:sz w:val="22"/>
                <w:szCs w:val="22"/>
              </w:rPr>
              <w:t xml:space="preserve"> and workforce needs</w:t>
            </w:r>
          </w:p>
          <w:p w14:paraId="6CDAAEB4" w14:textId="77777777" w:rsidR="002171E1" w:rsidRPr="008C764D" w:rsidRDefault="002171E1" w:rsidP="002171E1">
            <w:pPr>
              <w:pStyle w:val="ColorfulList-Accent11"/>
              <w:numPr>
                <w:ilvl w:val="0"/>
                <w:numId w:val="4"/>
              </w:numPr>
              <w:spacing w:after="120"/>
              <w:ind w:left="342" w:hanging="270"/>
              <w:rPr>
                <w:rFonts w:ascii="Calibri" w:hAnsi="Calibri"/>
                <w:b/>
                <w:sz w:val="22"/>
                <w:szCs w:val="22"/>
              </w:rPr>
            </w:pPr>
            <w:r w:rsidRPr="003D4F18">
              <w:rPr>
                <w:rFonts w:ascii="Calibri" w:hAnsi="Calibri"/>
                <w:sz w:val="22"/>
                <w:szCs w:val="22"/>
              </w:rPr>
              <w:t>Staff that are encouraged to share</w:t>
            </w:r>
            <w:r>
              <w:rPr>
                <w:rFonts w:ascii="Calibri" w:hAnsi="Calibri"/>
                <w:sz w:val="22"/>
                <w:szCs w:val="22"/>
              </w:rPr>
              <w:t xml:space="preserve"> industry</w:t>
            </w:r>
            <w:r w:rsidRPr="003D4F18">
              <w:rPr>
                <w:rFonts w:ascii="Calibri" w:hAnsi="Calibri"/>
                <w:sz w:val="22"/>
                <w:szCs w:val="22"/>
              </w:rPr>
              <w:t xml:space="preserve"> knowledge/ learnings with others throughout the system to maximize reach</w:t>
            </w:r>
          </w:p>
          <w:p w14:paraId="1C6D2FAC" w14:textId="77777777" w:rsidR="002171E1" w:rsidRPr="008C764D" w:rsidRDefault="002171E1" w:rsidP="002171E1">
            <w:pPr>
              <w:pStyle w:val="ColorfulList-Accent11"/>
              <w:numPr>
                <w:ilvl w:val="0"/>
                <w:numId w:val="4"/>
              </w:numPr>
              <w:spacing w:after="120"/>
              <w:ind w:left="342" w:hanging="270"/>
              <w:rPr>
                <w:rFonts w:ascii="Calibri" w:hAnsi="Calibri"/>
                <w:b/>
                <w:sz w:val="22"/>
                <w:szCs w:val="22"/>
              </w:rPr>
            </w:pPr>
            <w:r w:rsidRPr="008C764D">
              <w:rPr>
                <w:rFonts w:ascii="Calibri" w:hAnsi="Calibri"/>
                <w:sz w:val="22"/>
                <w:szCs w:val="22"/>
              </w:rPr>
              <w:t>Selected staffs have existing professional relationships with a number of employers within the industry</w:t>
            </w:r>
          </w:p>
        </w:tc>
        <w:tc>
          <w:tcPr>
            <w:tcW w:w="4320" w:type="dxa"/>
            <w:tcBorders>
              <w:top w:val="single" w:sz="8" w:space="0" w:color="4F81BD"/>
              <w:left w:val="single" w:sz="8" w:space="0" w:color="4F81BD"/>
              <w:bottom w:val="single" w:sz="8" w:space="0" w:color="4F81BD"/>
              <w:right w:val="single" w:sz="8" w:space="0" w:color="4F81BD"/>
            </w:tcBorders>
            <w:shd w:val="clear" w:color="auto" w:fill="auto"/>
          </w:tcPr>
          <w:p w14:paraId="23CA8BC3" w14:textId="77777777" w:rsidR="002171E1" w:rsidRPr="009A5D75" w:rsidRDefault="002171E1" w:rsidP="003733D3">
            <w:pPr>
              <w:jc w:val="center"/>
              <w:rPr>
                <w:rFonts w:ascii="Calibri" w:hAnsi="Calibri"/>
                <w:b/>
              </w:rPr>
            </w:pPr>
            <w:r w:rsidRPr="009A5D75">
              <w:rPr>
                <w:rFonts w:ascii="Calibri" w:hAnsi="Calibri"/>
                <w:b/>
              </w:rPr>
              <w:t>1          2          3          4          5</w:t>
            </w:r>
          </w:p>
          <w:p w14:paraId="0F1239C6" w14:textId="77777777" w:rsidR="002171E1" w:rsidRPr="009A5D75" w:rsidRDefault="002171E1" w:rsidP="003733D3">
            <w:pPr>
              <w:rPr>
                <w:rFonts w:ascii="Calibri" w:hAnsi="Calibri"/>
                <w:i/>
              </w:rPr>
            </w:pPr>
            <w:r w:rsidRPr="009A5D75">
              <w:rPr>
                <w:rFonts w:ascii="Calibri" w:hAnsi="Calibri"/>
                <w:i/>
              </w:rPr>
              <w:t>Describe rating briefly:</w:t>
            </w:r>
          </w:p>
          <w:p w14:paraId="493F2929" w14:textId="77777777" w:rsidR="002171E1" w:rsidRDefault="002171E1" w:rsidP="003733D3">
            <w:pPr>
              <w:rPr>
                <w:rFonts w:ascii="Calibri" w:hAnsi="Calibri"/>
                <w:b/>
              </w:rPr>
            </w:pPr>
          </w:p>
          <w:p w14:paraId="171AE7A2" w14:textId="77777777" w:rsidR="002171E1" w:rsidRDefault="002171E1" w:rsidP="003733D3">
            <w:pPr>
              <w:rPr>
                <w:rFonts w:ascii="Calibri" w:hAnsi="Calibri"/>
                <w:b/>
              </w:rPr>
            </w:pPr>
          </w:p>
          <w:p w14:paraId="7E34EE3E" w14:textId="77777777" w:rsidR="002171E1" w:rsidRPr="009A5D75" w:rsidRDefault="002171E1" w:rsidP="003733D3">
            <w:pPr>
              <w:rPr>
                <w:rFonts w:ascii="Calibri" w:hAnsi="Calibri"/>
                <w:b/>
              </w:rPr>
            </w:pPr>
          </w:p>
        </w:tc>
      </w:tr>
      <w:tr w:rsidR="002171E1" w:rsidRPr="009A5D75" w14:paraId="2345705A"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7B12D8E3" w14:textId="77777777" w:rsidR="002171E1" w:rsidRDefault="002171E1" w:rsidP="003733D3">
            <w:pPr>
              <w:rPr>
                <w:rFonts w:ascii="Calibri" w:eastAsia="MS Gothic" w:hAnsi="Calibri" w:cs="Trebuchet MS"/>
                <w:b/>
                <w:bCs/>
                <w:szCs w:val="26"/>
              </w:rPr>
            </w:pPr>
            <w:r>
              <w:rPr>
                <w:rFonts w:ascii="Calibri" w:eastAsia="MS Gothic" w:hAnsi="Calibri" w:cs="Trebuchet MS"/>
                <w:b/>
                <w:bCs/>
                <w:szCs w:val="26"/>
              </w:rPr>
              <w:t>4. Viewed by partners as a credible and neutral facilitator responsible for the workforce system as a whole</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1D177E3E" w14:textId="77777777" w:rsidR="002171E1" w:rsidRPr="0034523F" w:rsidRDefault="002171E1" w:rsidP="002171E1">
            <w:pPr>
              <w:pStyle w:val="ListParagraph"/>
              <w:numPr>
                <w:ilvl w:val="0"/>
                <w:numId w:val="29"/>
              </w:numPr>
              <w:rPr>
                <w:b/>
              </w:rPr>
            </w:pPr>
            <w:r w:rsidRPr="0034523F">
              <w:t xml:space="preserve">Viewed by all </w:t>
            </w:r>
            <w:r>
              <w:t xml:space="preserve">partners as a </w:t>
            </w:r>
            <w:r w:rsidRPr="0034523F">
              <w:t>neutral</w:t>
            </w:r>
            <w:r>
              <w:t xml:space="preserve"> and informed party with </w:t>
            </w:r>
            <w:r w:rsidRPr="0034523F">
              <w:t>ability to create a shared vision of sector strategies and facilitate outcomes</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2952DB14" w14:textId="77777777" w:rsidR="002171E1" w:rsidRPr="009A5D75" w:rsidRDefault="002171E1" w:rsidP="003733D3">
            <w:pPr>
              <w:jc w:val="center"/>
              <w:rPr>
                <w:rFonts w:ascii="Calibri" w:hAnsi="Calibri"/>
                <w:b/>
              </w:rPr>
            </w:pPr>
            <w:r w:rsidRPr="009A5D75">
              <w:rPr>
                <w:rFonts w:ascii="Calibri" w:hAnsi="Calibri"/>
                <w:b/>
              </w:rPr>
              <w:t>1          2          3          4          5</w:t>
            </w:r>
          </w:p>
          <w:p w14:paraId="4B3BD733" w14:textId="77777777" w:rsidR="002171E1" w:rsidRPr="009A5D75" w:rsidRDefault="002171E1" w:rsidP="003733D3">
            <w:pPr>
              <w:rPr>
                <w:rFonts w:ascii="Calibri" w:hAnsi="Calibri"/>
                <w:i/>
              </w:rPr>
            </w:pPr>
            <w:r w:rsidRPr="009A5D75">
              <w:rPr>
                <w:rFonts w:ascii="Calibri" w:hAnsi="Calibri"/>
                <w:i/>
              </w:rPr>
              <w:t>Describe rating briefly:</w:t>
            </w:r>
          </w:p>
          <w:p w14:paraId="51BB8E0D" w14:textId="77777777" w:rsidR="002171E1" w:rsidRPr="009A5D75" w:rsidRDefault="002171E1" w:rsidP="003733D3">
            <w:pPr>
              <w:jc w:val="center"/>
              <w:rPr>
                <w:rFonts w:ascii="Calibri" w:hAnsi="Calibri"/>
                <w:b/>
              </w:rPr>
            </w:pPr>
          </w:p>
        </w:tc>
      </w:tr>
      <w:tr w:rsidR="002171E1" w:rsidRPr="009A5D75" w14:paraId="17124DB9" w14:textId="77777777" w:rsidTr="003733D3">
        <w:tc>
          <w:tcPr>
            <w:tcW w:w="13500" w:type="dxa"/>
            <w:gridSpan w:val="3"/>
            <w:tcBorders>
              <w:top w:val="single" w:sz="8" w:space="0" w:color="4F81BD"/>
              <w:left w:val="single" w:sz="8" w:space="0" w:color="4F81BD"/>
              <w:bottom w:val="single" w:sz="8" w:space="0" w:color="4F81BD"/>
              <w:right w:val="single" w:sz="8" w:space="0" w:color="4F81BD"/>
            </w:tcBorders>
            <w:shd w:val="clear" w:color="auto" w:fill="000000" w:themeFill="text1"/>
          </w:tcPr>
          <w:p w14:paraId="39F3E830" w14:textId="77777777" w:rsidR="002171E1" w:rsidRPr="00800B8E" w:rsidRDefault="002171E1" w:rsidP="003733D3">
            <w:pPr>
              <w:pStyle w:val="ColorfulList-Accent11"/>
              <w:ind w:left="0"/>
              <w:rPr>
                <w:rFonts w:ascii="Calibri" w:hAnsi="Calibri"/>
              </w:rPr>
            </w:pPr>
            <w:r w:rsidRPr="00800B8E">
              <w:rPr>
                <w:rFonts w:ascii="Calibri" w:hAnsi="Calibri"/>
                <w:b/>
              </w:rPr>
              <w:t>DATA-INFORMED DECISION MAKING</w:t>
            </w:r>
          </w:p>
          <w:p w14:paraId="5D1F5BD1" w14:textId="77777777" w:rsidR="002171E1" w:rsidRPr="00800B8E" w:rsidRDefault="002171E1" w:rsidP="003733D3">
            <w:pPr>
              <w:pStyle w:val="ColorfulList-Accent11"/>
              <w:ind w:left="0"/>
              <w:rPr>
                <w:i/>
              </w:rPr>
            </w:pPr>
            <w:r w:rsidRPr="00C7102F">
              <w:rPr>
                <w:rFonts w:asciiTheme="minorHAnsi" w:hAnsiTheme="minorHAnsi"/>
                <w:i/>
                <w:sz w:val="22"/>
                <w:szCs w:val="22"/>
              </w:rPr>
              <w:t xml:space="preserve">Are your target sectors and identified industry workforce needs </w:t>
            </w:r>
            <w:r w:rsidRPr="00C7102F">
              <w:rPr>
                <w:rFonts w:asciiTheme="minorHAnsi" w:hAnsiTheme="minorHAnsi"/>
                <w:i/>
                <w:iCs/>
                <w:sz w:val="22"/>
                <w:szCs w:val="22"/>
              </w:rPr>
              <w:t xml:space="preserve">data-informed </w:t>
            </w:r>
            <w:r>
              <w:rPr>
                <w:rFonts w:asciiTheme="minorHAnsi" w:hAnsiTheme="minorHAnsi"/>
                <w:i/>
                <w:sz w:val="22"/>
                <w:szCs w:val="22"/>
              </w:rPr>
              <w:t xml:space="preserve">based on LMI, </w:t>
            </w:r>
            <w:r w:rsidRPr="00C7102F">
              <w:rPr>
                <w:rFonts w:asciiTheme="minorHAnsi" w:hAnsiTheme="minorHAnsi"/>
                <w:i/>
                <w:sz w:val="22"/>
                <w:szCs w:val="22"/>
              </w:rPr>
              <w:t>on-the-ground information</w:t>
            </w:r>
            <w:r>
              <w:rPr>
                <w:rFonts w:asciiTheme="minorHAnsi" w:hAnsiTheme="minorHAnsi"/>
                <w:i/>
                <w:sz w:val="22"/>
                <w:szCs w:val="22"/>
              </w:rPr>
              <w:t xml:space="preserve"> and employer </w:t>
            </w:r>
            <w:r w:rsidRPr="00C7102F">
              <w:rPr>
                <w:rFonts w:asciiTheme="minorHAnsi" w:hAnsiTheme="minorHAnsi"/>
                <w:i/>
                <w:sz w:val="22"/>
                <w:szCs w:val="22"/>
              </w:rPr>
              <w:t>validation</w:t>
            </w:r>
            <w:r>
              <w:rPr>
                <w:rFonts w:asciiTheme="minorHAnsi" w:hAnsiTheme="minorHAnsi"/>
                <w:i/>
                <w:sz w:val="22"/>
                <w:szCs w:val="22"/>
              </w:rPr>
              <w:t>?</w:t>
            </w:r>
          </w:p>
        </w:tc>
      </w:tr>
      <w:tr w:rsidR="002171E1" w:rsidRPr="009A5D75" w14:paraId="0F747DEF"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43C8228"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t>5</w:t>
            </w:r>
            <w:r w:rsidRPr="009A5D75">
              <w:rPr>
                <w:rFonts w:ascii="Calibri" w:eastAsia="MS Gothic" w:hAnsi="Calibri" w:cs="Trebuchet MS"/>
                <w:b/>
                <w:bCs/>
                <w:szCs w:val="26"/>
              </w:rPr>
              <w:t xml:space="preserve">. Understanding of your region’s most important industry sector(s) through use of rigorous labor market data and workforce </w:t>
            </w:r>
            <w:r w:rsidRPr="009A5D75">
              <w:rPr>
                <w:rFonts w:ascii="Calibri" w:eastAsia="MS Gothic" w:hAnsi="Calibri" w:cs="Trebuchet MS"/>
                <w:b/>
                <w:bCs/>
                <w:szCs w:val="26"/>
              </w:rPr>
              <w:lastRenderedPageBreak/>
              <w:t>planning information</w:t>
            </w:r>
          </w:p>
          <w:p w14:paraId="105A0B1B" w14:textId="77777777" w:rsidR="002171E1" w:rsidRPr="009A5D75" w:rsidRDefault="002171E1" w:rsidP="003733D3">
            <w:pPr>
              <w:rPr>
                <w:rFonts w:ascii="Calibri" w:eastAsia="MS Gothic" w:hAnsi="Calibri"/>
                <w:b/>
                <w:bCs/>
              </w:rPr>
            </w:pPr>
          </w:p>
        </w:tc>
        <w:tc>
          <w:tcPr>
            <w:tcW w:w="540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968C4BA" w14:textId="77777777" w:rsidR="002171E1" w:rsidRPr="008D57A5" w:rsidRDefault="002171E1" w:rsidP="002171E1">
            <w:pPr>
              <w:pStyle w:val="ColorfulList-Accent11"/>
              <w:numPr>
                <w:ilvl w:val="0"/>
                <w:numId w:val="6"/>
              </w:numPr>
              <w:ind w:left="342" w:hanging="270"/>
              <w:rPr>
                <w:rFonts w:ascii="Calibri" w:hAnsi="Calibri"/>
                <w:sz w:val="22"/>
                <w:szCs w:val="22"/>
              </w:rPr>
            </w:pPr>
            <w:r>
              <w:rPr>
                <w:rFonts w:ascii="Calibri" w:hAnsi="Calibri"/>
                <w:sz w:val="22"/>
                <w:szCs w:val="22"/>
              </w:rPr>
              <w:lastRenderedPageBreak/>
              <w:t xml:space="preserve">Used mix of </w:t>
            </w:r>
            <w:r w:rsidRPr="009A5D75">
              <w:rPr>
                <w:rFonts w:ascii="Calibri" w:hAnsi="Calibri"/>
                <w:sz w:val="22"/>
                <w:szCs w:val="22"/>
              </w:rPr>
              <w:t>economic, labor market, and industry data</w:t>
            </w:r>
            <w:r>
              <w:rPr>
                <w:rFonts w:ascii="Calibri" w:hAnsi="Calibri"/>
                <w:sz w:val="22"/>
                <w:szCs w:val="22"/>
              </w:rPr>
              <w:t xml:space="preserve"> to identify regional industries that are targeted because they are concentrated, growing, and offer family-sustaining wages</w:t>
            </w:r>
          </w:p>
          <w:p w14:paraId="734FFD11" w14:textId="77777777" w:rsidR="002171E1" w:rsidRPr="0034523F" w:rsidRDefault="002171E1" w:rsidP="002171E1">
            <w:pPr>
              <w:pStyle w:val="ColorfulList-Accent11"/>
              <w:numPr>
                <w:ilvl w:val="0"/>
                <w:numId w:val="6"/>
              </w:numPr>
              <w:ind w:left="342" w:hanging="270"/>
              <w:rPr>
                <w:rFonts w:ascii="Calibri" w:hAnsi="Calibri"/>
                <w:sz w:val="22"/>
                <w:szCs w:val="22"/>
              </w:rPr>
            </w:pPr>
            <w:r w:rsidRPr="009A5D75">
              <w:rPr>
                <w:rFonts w:ascii="Calibri" w:hAnsi="Calibri" w:cs="Trebuchet MS"/>
                <w:sz w:val="22"/>
                <w:szCs w:val="26"/>
              </w:rPr>
              <w:t xml:space="preserve">Within the </w:t>
            </w:r>
            <w:r>
              <w:rPr>
                <w:rFonts w:ascii="Calibri" w:hAnsi="Calibri" w:cs="Trebuchet MS"/>
                <w:sz w:val="22"/>
                <w:szCs w:val="26"/>
              </w:rPr>
              <w:t xml:space="preserve">target </w:t>
            </w:r>
            <w:r w:rsidRPr="009A5D75">
              <w:rPr>
                <w:rFonts w:ascii="Calibri" w:hAnsi="Calibri" w:cs="Trebuchet MS"/>
                <w:sz w:val="22"/>
                <w:szCs w:val="26"/>
              </w:rPr>
              <w:t>industry(</w:t>
            </w:r>
            <w:proofErr w:type="spellStart"/>
            <w:r w:rsidRPr="009A5D75">
              <w:rPr>
                <w:rFonts w:ascii="Calibri" w:hAnsi="Calibri" w:cs="Trebuchet MS"/>
                <w:sz w:val="22"/>
                <w:szCs w:val="26"/>
              </w:rPr>
              <w:t>ies</w:t>
            </w:r>
            <w:proofErr w:type="spellEnd"/>
            <w:r w:rsidRPr="009A5D75">
              <w:rPr>
                <w:rFonts w:ascii="Calibri" w:hAnsi="Calibri" w:cs="Trebuchet MS"/>
                <w:sz w:val="22"/>
                <w:szCs w:val="26"/>
              </w:rPr>
              <w:t>), u</w:t>
            </w:r>
            <w:r>
              <w:rPr>
                <w:rFonts w:ascii="Calibri" w:hAnsi="Calibri" w:cs="Trebuchet MS"/>
                <w:sz w:val="22"/>
                <w:szCs w:val="26"/>
              </w:rPr>
              <w:t xml:space="preserve">se mix of LMI </w:t>
            </w:r>
            <w:r>
              <w:rPr>
                <w:rFonts w:ascii="Calibri" w:hAnsi="Calibri" w:cs="Trebuchet MS"/>
                <w:sz w:val="22"/>
                <w:szCs w:val="26"/>
              </w:rPr>
              <w:lastRenderedPageBreak/>
              <w:t xml:space="preserve">sources </w:t>
            </w:r>
            <w:r w:rsidRPr="009A5D75">
              <w:rPr>
                <w:rFonts w:ascii="Calibri" w:hAnsi="Calibri" w:cs="Trebuchet MS"/>
                <w:sz w:val="22"/>
                <w:szCs w:val="26"/>
              </w:rPr>
              <w:t xml:space="preserve">to determine </w:t>
            </w:r>
            <w:r>
              <w:rPr>
                <w:rFonts w:ascii="Calibri" w:hAnsi="Calibri" w:cs="Trebuchet MS"/>
                <w:sz w:val="22"/>
                <w:szCs w:val="26"/>
              </w:rPr>
              <w:t xml:space="preserve">baseline of </w:t>
            </w:r>
            <w:r w:rsidRPr="009A5D75">
              <w:rPr>
                <w:rFonts w:ascii="Calibri" w:hAnsi="Calibri" w:cs="Trebuchet MS"/>
                <w:sz w:val="22"/>
                <w:szCs w:val="26"/>
              </w:rPr>
              <w:t>most promising occupations</w:t>
            </w:r>
            <w:r>
              <w:rPr>
                <w:rFonts w:ascii="Calibri" w:hAnsi="Calibri" w:cs="Trebuchet MS"/>
                <w:sz w:val="22"/>
                <w:szCs w:val="26"/>
              </w:rPr>
              <w:t xml:space="preserve"> and workforce needs</w:t>
            </w:r>
          </w:p>
          <w:p w14:paraId="5EAC6BC9" w14:textId="77777777" w:rsidR="002171E1" w:rsidRPr="008C764D" w:rsidRDefault="002171E1" w:rsidP="002171E1">
            <w:pPr>
              <w:pStyle w:val="ColorfulList-Accent11"/>
              <w:numPr>
                <w:ilvl w:val="0"/>
                <w:numId w:val="6"/>
              </w:numPr>
              <w:ind w:left="342" w:hanging="270"/>
              <w:rPr>
                <w:rFonts w:ascii="Calibri" w:hAnsi="Calibri"/>
                <w:sz w:val="22"/>
                <w:szCs w:val="22"/>
              </w:rPr>
            </w:pPr>
            <w:r>
              <w:rPr>
                <w:rFonts w:ascii="Calibri" w:hAnsi="Calibri" w:cs="Trebuchet MS"/>
                <w:sz w:val="22"/>
                <w:szCs w:val="26"/>
              </w:rPr>
              <w:t xml:space="preserve">Data used represents </w:t>
            </w:r>
            <w:r w:rsidRPr="007768DC">
              <w:rPr>
                <w:rFonts w:ascii="Calibri" w:hAnsi="Calibri" w:cs="Trebuchet MS"/>
                <w:i/>
                <w:sz w:val="22"/>
                <w:szCs w:val="26"/>
              </w:rPr>
              <w:t>regional</w:t>
            </w:r>
            <w:r>
              <w:rPr>
                <w:rFonts w:ascii="Calibri" w:hAnsi="Calibri" w:cs="Trebuchet MS"/>
                <w:sz w:val="22"/>
                <w:szCs w:val="26"/>
              </w:rPr>
              <w:t xml:space="preserve"> labor market (vs. only a WIB’s service area)</w:t>
            </w:r>
          </w:p>
          <w:p w14:paraId="17AFEC8B" w14:textId="77777777" w:rsidR="002171E1" w:rsidRPr="008C764D" w:rsidRDefault="002171E1" w:rsidP="002171E1">
            <w:pPr>
              <w:pStyle w:val="ColorfulList-Accent11"/>
              <w:numPr>
                <w:ilvl w:val="0"/>
                <w:numId w:val="6"/>
              </w:numPr>
              <w:ind w:left="342" w:hanging="270"/>
              <w:rPr>
                <w:rFonts w:ascii="Calibri" w:hAnsi="Calibri"/>
                <w:sz w:val="22"/>
                <w:szCs w:val="22"/>
              </w:rPr>
            </w:pPr>
            <w:r w:rsidRPr="008C764D">
              <w:rPr>
                <w:rFonts w:ascii="Calibri" w:hAnsi="Calibri" w:cs="Trebuchet MS"/>
                <w:sz w:val="22"/>
                <w:szCs w:val="26"/>
              </w:rPr>
              <w:t>Formal process in place to pe</w:t>
            </w:r>
            <w:r w:rsidRPr="008C764D">
              <w:rPr>
                <w:rFonts w:ascii="Calibri" w:hAnsi="Calibri"/>
                <w:sz w:val="22"/>
                <w:szCs w:val="22"/>
              </w:rPr>
              <w:t>riodically review data and make adjustments</w:t>
            </w:r>
          </w:p>
        </w:tc>
        <w:tc>
          <w:tcPr>
            <w:tcW w:w="432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31240E6" w14:textId="77777777" w:rsidR="002171E1" w:rsidRPr="009A5D75" w:rsidRDefault="002171E1" w:rsidP="003733D3">
            <w:pPr>
              <w:jc w:val="center"/>
              <w:rPr>
                <w:rFonts w:ascii="Calibri" w:hAnsi="Calibri"/>
                <w:b/>
              </w:rPr>
            </w:pPr>
            <w:r w:rsidRPr="009A5D75">
              <w:rPr>
                <w:rFonts w:ascii="Calibri" w:hAnsi="Calibri"/>
                <w:b/>
              </w:rPr>
              <w:lastRenderedPageBreak/>
              <w:t>1          2          3          4          5</w:t>
            </w:r>
          </w:p>
          <w:p w14:paraId="75DACADC" w14:textId="77777777" w:rsidR="002171E1" w:rsidRPr="009A5D75" w:rsidRDefault="002171E1" w:rsidP="003733D3">
            <w:pPr>
              <w:rPr>
                <w:rFonts w:ascii="Calibri" w:hAnsi="Calibri"/>
                <w:i/>
              </w:rPr>
            </w:pPr>
            <w:r w:rsidRPr="009A5D75">
              <w:rPr>
                <w:rFonts w:ascii="Calibri" w:hAnsi="Calibri"/>
                <w:i/>
              </w:rPr>
              <w:t>Describe rating briefly:</w:t>
            </w:r>
          </w:p>
          <w:p w14:paraId="65A53F26" w14:textId="77777777" w:rsidR="002171E1" w:rsidRPr="009A5D75" w:rsidRDefault="002171E1" w:rsidP="003733D3">
            <w:pPr>
              <w:rPr>
                <w:rFonts w:ascii="Calibri" w:hAnsi="Calibri"/>
                <w:b/>
              </w:rPr>
            </w:pPr>
          </w:p>
        </w:tc>
      </w:tr>
      <w:tr w:rsidR="002171E1" w:rsidRPr="009A5D75" w14:paraId="2CDD3A99"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030FE73C" w14:textId="77777777" w:rsidR="002171E1" w:rsidRDefault="002171E1" w:rsidP="003733D3">
            <w:pPr>
              <w:rPr>
                <w:rFonts w:ascii="Calibri" w:eastAsia="MS Gothic" w:hAnsi="Calibri" w:cs="Trebuchet MS"/>
                <w:b/>
                <w:bCs/>
                <w:szCs w:val="26"/>
              </w:rPr>
            </w:pPr>
            <w:r>
              <w:rPr>
                <w:rFonts w:ascii="Calibri" w:eastAsia="MS Gothic" w:hAnsi="Calibri" w:cs="Trebuchet MS"/>
                <w:b/>
                <w:bCs/>
                <w:szCs w:val="26"/>
              </w:rPr>
              <w:t>6.</w:t>
            </w:r>
            <w:r w:rsidRPr="009A5D75">
              <w:rPr>
                <w:rFonts w:ascii="Calibri" w:eastAsia="MS Gothic" w:hAnsi="Calibri" w:cs="Trebuchet MS"/>
                <w:b/>
                <w:bCs/>
                <w:szCs w:val="26"/>
              </w:rPr>
              <w:t xml:space="preserve"> </w:t>
            </w:r>
            <w:r>
              <w:rPr>
                <w:rFonts w:ascii="Calibri" w:eastAsia="MS Gothic" w:hAnsi="Calibri" w:cs="Trebuchet MS"/>
                <w:b/>
                <w:bCs/>
                <w:szCs w:val="26"/>
              </w:rPr>
              <w:t>P</w:t>
            </w:r>
            <w:r w:rsidRPr="009A5D75">
              <w:rPr>
                <w:rFonts w:ascii="Calibri" w:eastAsia="MS Gothic" w:hAnsi="Calibri" w:cs="Trebuchet MS"/>
                <w:b/>
                <w:bCs/>
                <w:szCs w:val="26"/>
              </w:rPr>
              <w:t>rocess in place to</w:t>
            </w:r>
            <w:r>
              <w:rPr>
                <w:rFonts w:ascii="Calibri" w:eastAsia="MS Gothic" w:hAnsi="Calibri" w:cs="Trebuchet MS"/>
                <w:b/>
                <w:bCs/>
                <w:szCs w:val="26"/>
              </w:rPr>
              <w:t xml:space="preserve"> identify priority areas for sector partnership action and to</w:t>
            </w:r>
            <w:r w:rsidRPr="009A5D75">
              <w:rPr>
                <w:rFonts w:ascii="Calibri" w:eastAsia="MS Gothic" w:hAnsi="Calibri" w:cs="Trebuchet MS"/>
                <w:b/>
                <w:bCs/>
                <w:szCs w:val="26"/>
              </w:rPr>
              <w:t xml:space="preserve"> translate LMI and employer data </w:t>
            </w:r>
            <w:r>
              <w:rPr>
                <w:rFonts w:ascii="Calibri" w:eastAsia="MS Gothic" w:hAnsi="Calibri" w:cs="Trebuchet MS"/>
                <w:b/>
                <w:bCs/>
                <w:szCs w:val="26"/>
              </w:rPr>
              <w:t>in</w:t>
            </w:r>
            <w:r w:rsidRPr="009A5D75">
              <w:rPr>
                <w:rFonts w:ascii="Calibri" w:eastAsia="MS Gothic" w:hAnsi="Calibri" w:cs="Trebuchet MS"/>
                <w:b/>
                <w:bCs/>
                <w:szCs w:val="26"/>
              </w:rPr>
              <w:t xml:space="preserve">to </w:t>
            </w:r>
            <w:r>
              <w:rPr>
                <w:rFonts w:ascii="Calibri" w:eastAsia="MS Gothic" w:hAnsi="Calibri" w:cs="Trebuchet MS"/>
                <w:b/>
                <w:bCs/>
                <w:szCs w:val="26"/>
              </w:rPr>
              <w:t xml:space="preserve">skill and program gaps </w:t>
            </w:r>
          </w:p>
          <w:p w14:paraId="14269F1F" w14:textId="77777777" w:rsidR="002171E1" w:rsidRDefault="002171E1" w:rsidP="003733D3">
            <w:pPr>
              <w:rPr>
                <w:rFonts w:ascii="Calibri" w:eastAsia="MS Gothic" w:hAnsi="Calibri" w:cs="Trebuchet MS"/>
                <w:b/>
                <w:bCs/>
                <w:szCs w:val="26"/>
              </w:rPr>
            </w:pP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28B33631" w14:textId="77777777" w:rsidR="002171E1" w:rsidRPr="008C764D" w:rsidRDefault="002171E1" w:rsidP="002171E1">
            <w:pPr>
              <w:pStyle w:val="ColorfulList-Accent11"/>
              <w:numPr>
                <w:ilvl w:val="0"/>
                <w:numId w:val="6"/>
              </w:numPr>
              <w:ind w:left="342" w:hanging="270"/>
              <w:rPr>
                <w:rFonts w:ascii="Calibri" w:hAnsi="Calibri"/>
                <w:sz w:val="22"/>
                <w:szCs w:val="22"/>
              </w:rPr>
            </w:pPr>
            <w:r>
              <w:rPr>
                <w:rFonts w:ascii="Calibri" w:hAnsi="Calibri"/>
                <w:sz w:val="22"/>
                <w:szCs w:val="22"/>
              </w:rPr>
              <w:t>Formal and continuous p</w:t>
            </w:r>
            <w:r w:rsidRPr="009A5D75">
              <w:rPr>
                <w:rFonts w:ascii="Calibri" w:hAnsi="Calibri"/>
                <w:sz w:val="22"/>
                <w:szCs w:val="22"/>
              </w:rPr>
              <w:t xml:space="preserve">rocess to work with employers to </w:t>
            </w:r>
            <w:r>
              <w:rPr>
                <w:rFonts w:ascii="Calibri" w:hAnsi="Calibri"/>
                <w:sz w:val="22"/>
                <w:szCs w:val="22"/>
              </w:rPr>
              <w:t xml:space="preserve">review LMI data and </w:t>
            </w:r>
            <w:r w:rsidRPr="009A5D75">
              <w:rPr>
                <w:rFonts w:ascii="Calibri" w:hAnsi="Calibri"/>
                <w:sz w:val="22"/>
                <w:szCs w:val="22"/>
              </w:rPr>
              <w:t xml:space="preserve">identify/validate </w:t>
            </w:r>
            <w:r>
              <w:rPr>
                <w:rFonts w:ascii="Calibri" w:hAnsi="Calibri"/>
                <w:sz w:val="22"/>
                <w:szCs w:val="22"/>
              </w:rPr>
              <w:t xml:space="preserve">workforce needs and </w:t>
            </w:r>
            <w:r w:rsidRPr="009A5D75">
              <w:rPr>
                <w:rFonts w:ascii="Calibri" w:hAnsi="Calibri"/>
                <w:sz w:val="22"/>
                <w:szCs w:val="22"/>
              </w:rPr>
              <w:t>specific KSAs</w:t>
            </w:r>
            <w:r>
              <w:rPr>
                <w:rFonts w:ascii="Calibri" w:hAnsi="Calibri"/>
                <w:sz w:val="22"/>
                <w:szCs w:val="22"/>
              </w:rPr>
              <w:t xml:space="preserve"> (includes process for </w:t>
            </w:r>
            <w:r w:rsidRPr="00E73FF8">
              <w:rPr>
                <w:rFonts w:ascii="Calibri" w:hAnsi="Calibri" w:cs="Helvetica"/>
                <w:color w:val="141413"/>
                <w:sz w:val="22"/>
                <w:szCs w:val="20"/>
              </w:rPr>
              <w:t>develop</w:t>
            </w:r>
            <w:r>
              <w:rPr>
                <w:rFonts w:ascii="Calibri" w:hAnsi="Calibri" w:cs="Helvetica"/>
                <w:color w:val="141413"/>
                <w:sz w:val="22"/>
                <w:szCs w:val="20"/>
              </w:rPr>
              <w:t>ing</w:t>
            </w:r>
            <w:r w:rsidRPr="00E73FF8">
              <w:rPr>
                <w:rFonts w:ascii="Calibri" w:hAnsi="Calibri" w:cs="Helvetica"/>
                <w:color w:val="141413"/>
                <w:sz w:val="22"/>
                <w:szCs w:val="20"/>
              </w:rPr>
              <w:t xml:space="preserve"> maps showing skill transferability and connections among credentials currently offered</w:t>
            </w:r>
            <w:r>
              <w:rPr>
                <w:rFonts w:ascii="Calibri" w:hAnsi="Calibri" w:cs="Helvetica"/>
                <w:color w:val="141413"/>
                <w:sz w:val="22"/>
                <w:szCs w:val="20"/>
              </w:rPr>
              <w:t>)</w:t>
            </w:r>
            <w:r w:rsidRPr="00E73FF8">
              <w:rPr>
                <w:rFonts w:ascii="Calibri" w:hAnsi="Calibri" w:cs="Trebuchet MS"/>
                <w:sz w:val="22"/>
                <w:szCs w:val="26"/>
              </w:rPr>
              <w:t xml:space="preserve"> </w:t>
            </w:r>
          </w:p>
          <w:p w14:paraId="7E32BCAE" w14:textId="77777777" w:rsidR="002171E1" w:rsidRDefault="002171E1" w:rsidP="002171E1">
            <w:pPr>
              <w:pStyle w:val="ColorfulList-Accent11"/>
              <w:numPr>
                <w:ilvl w:val="0"/>
                <w:numId w:val="6"/>
              </w:numPr>
              <w:ind w:left="342" w:hanging="270"/>
              <w:rPr>
                <w:rFonts w:ascii="Calibri" w:hAnsi="Calibri"/>
                <w:sz w:val="22"/>
                <w:szCs w:val="22"/>
              </w:rPr>
            </w:pPr>
            <w:r w:rsidRPr="008C764D">
              <w:rPr>
                <w:rFonts w:ascii="Calibri" w:hAnsi="Calibri" w:cs="Trebuchet MS"/>
                <w:sz w:val="22"/>
                <w:szCs w:val="26"/>
              </w:rPr>
              <w:t>Formal process to ID gaps between</w:t>
            </w:r>
            <w:r>
              <w:rPr>
                <w:rFonts w:ascii="Calibri" w:hAnsi="Calibri" w:cs="Trebuchet MS"/>
                <w:sz w:val="22"/>
                <w:szCs w:val="26"/>
              </w:rPr>
              <w:t xml:space="preserve"> existing regional education,</w:t>
            </w:r>
            <w:r w:rsidRPr="008C764D">
              <w:rPr>
                <w:rFonts w:ascii="Calibri" w:hAnsi="Calibri" w:cs="Trebuchet MS"/>
                <w:sz w:val="22"/>
                <w:szCs w:val="26"/>
              </w:rPr>
              <w:t xml:space="preserve"> training</w:t>
            </w:r>
            <w:r>
              <w:rPr>
                <w:rFonts w:ascii="Calibri" w:hAnsi="Calibri" w:cs="Trebuchet MS"/>
                <w:sz w:val="22"/>
                <w:szCs w:val="26"/>
              </w:rPr>
              <w:t>, and business</w:t>
            </w:r>
            <w:r w:rsidRPr="008C764D">
              <w:rPr>
                <w:rFonts w:ascii="Calibri" w:hAnsi="Calibri" w:cs="Trebuchet MS"/>
                <w:sz w:val="22"/>
                <w:szCs w:val="26"/>
              </w:rPr>
              <w:t xml:space="preserve"> services &amp; new/enhanced programs</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7B7D58F7" w14:textId="77777777" w:rsidR="002171E1" w:rsidRPr="009A5D75" w:rsidRDefault="002171E1" w:rsidP="003733D3">
            <w:pPr>
              <w:jc w:val="center"/>
              <w:rPr>
                <w:rFonts w:ascii="Calibri" w:hAnsi="Calibri"/>
                <w:b/>
              </w:rPr>
            </w:pPr>
            <w:r w:rsidRPr="009A5D75">
              <w:rPr>
                <w:rFonts w:ascii="Calibri" w:hAnsi="Calibri"/>
                <w:b/>
              </w:rPr>
              <w:t>1          2          3          4          5</w:t>
            </w:r>
          </w:p>
          <w:p w14:paraId="11270674" w14:textId="77777777" w:rsidR="002171E1" w:rsidRPr="009A5D75" w:rsidRDefault="002171E1" w:rsidP="003733D3">
            <w:pPr>
              <w:rPr>
                <w:rFonts w:ascii="Calibri" w:hAnsi="Calibri"/>
                <w:i/>
              </w:rPr>
            </w:pPr>
            <w:r w:rsidRPr="009A5D75">
              <w:rPr>
                <w:rFonts w:ascii="Calibri" w:hAnsi="Calibri"/>
                <w:i/>
              </w:rPr>
              <w:t>Describe rating briefly:</w:t>
            </w:r>
          </w:p>
          <w:p w14:paraId="212F40FF" w14:textId="77777777" w:rsidR="002171E1" w:rsidRPr="009A5D75" w:rsidRDefault="002171E1" w:rsidP="003733D3">
            <w:pPr>
              <w:jc w:val="center"/>
              <w:rPr>
                <w:rFonts w:ascii="Calibri" w:hAnsi="Calibri"/>
                <w:b/>
              </w:rPr>
            </w:pPr>
          </w:p>
        </w:tc>
      </w:tr>
      <w:tr w:rsidR="002171E1" w:rsidRPr="009A5D75" w14:paraId="342207F8"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auto"/>
          </w:tcPr>
          <w:p w14:paraId="3E1DCFC1"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t>7. Consensus among key regional partners of the target industries and related workforce needs</w:t>
            </w:r>
          </w:p>
        </w:tc>
        <w:tc>
          <w:tcPr>
            <w:tcW w:w="5400" w:type="dxa"/>
            <w:tcBorders>
              <w:top w:val="single" w:sz="8" w:space="0" w:color="4F81BD"/>
              <w:left w:val="single" w:sz="8" w:space="0" w:color="4F81BD"/>
              <w:bottom w:val="single" w:sz="8" w:space="0" w:color="4F81BD"/>
              <w:right w:val="single" w:sz="8" w:space="0" w:color="4F81BD"/>
            </w:tcBorders>
          </w:tcPr>
          <w:p w14:paraId="18B80698" w14:textId="77777777" w:rsidR="002171E1" w:rsidRPr="00522233" w:rsidRDefault="002171E1" w:rsidP="002171E1">
            <w:pPr>
              <w:pStyle w:val="ColorfulList-Accent11"/>
              <w:numPr>
                <w:ilvl w:val="0"/>
                <w:numId w:val="6"/>
              </w:numPr>
              <w:ind w:left="342" w:hanging="270"/>
              <w:rPr>
                <w:rFonts w:ascii="Calibri" w:hAnsi="Calibri"/>
                <w:sz w:val="22"/>
                <w:szCs w:val="22"/>
              </w:rPr>
            </w:pPr>
            <w:r>
              <w:rPr>
                <w:rFonts w:ascii="Calibri" w:hAnsi="Calibri"/>
                <w:sz w:val="22"/>
                <w:szCs w:val="22"/>
              </w:rPr>
              <w:t>Regional community colleges, economic development organizations, and workforce system use similar data tools to reach similar decisions on key targets and workforce needs</w:t>
            </w:r>
          </w:p>
          <w:p w14:paraId="66E1A2C6" w14:textId="77777777" w:rsidR="002171E1" w:rsidRPr="008C764D" w:rsidRDefault="002171E1" w:rsidP="002171E1">
            <w:pPr>
              <w:pStyle w:val="ColorfulList-Accent11"/>
              <w:numPr>
                <w:ilvl w:val="0"/>
                <w:numId w:val="6"/>
              </w:numPr>
              <w:ind w:left="342" w:hanging="270"/>
              <w:rPr>
                <w:rFonts w:ascii="Calibri" w:hAnsi="Calibri"/>
                <w:sz w:val="22"/>
                <w:szCs w:val="22"/>
              </w:rPr>
            </w:pPr>
            <w:r>
              <w:rPr>
                <w:rFonts w:ascii="Calibri" w:hAnsi="Calibri"/>
                <w:sz w:val="22"/>
                <w:szCs w:val="22"/>
              </w:rPr>
              <w:t>Industry-wide data and workforce needs are regularly shared across partners</w:t>
            </w:r>
          </w:p>
        </w:tc>
        <w:tc>
          <w:tcPr>
            <w:tcW w:w="4320" w:type="dxa"/>
            <w:tcBorders>
              <w:top w:val="single" w:sz="8" w:space="0" w:color="4F81BD"/>
              <w:left w:val="single" w:sz="8" w:space="0" w:color="4F81BD"/>
              <w:bottom w:val="single" w:sz="8" w:space="0" w:color="4F81BD"/>
              <w:right w:val="single" w:sz="8" w:space="0" w:color="4F81BD"/>
            </w:tcBorders>
            <w:shd w:val="clear" w:color="auto" w:fill="auto"/>
          </w:tcPr>
          <w:p w14:paraId="792E708D" w14:textId="77777777" w:rsidR="002171E1" w:rsidRPr="009A5D75" w:rsidRDefault="002171E1" w:rsidP="003733D3">
            <w:pPr>
              <w:jc w:val="center"/>
              <w:rPr>
                <w:rFonts w:ascii="Calibri" w:hAnsi="Calibri"/>
                <w:b/>
              </w:rPr>
            </w:pPr>
            <w:r w:rsidRPr="009A5D75">
              <w:rPr>
                <w:rFonts w:ascii="Calibri" w:hAnsi="Calibri"/>
                <w:b/>
              </w:rPr>
              <w:t>1          2          3          4          5</w:t>
            </w:r>
          </w:p>
          <w:p w14:paraId="0289D736" w14:textId="77777777" w:rsidR="002171E1" w:rsidRPr="009A5D75" w:rsidRDefault="002171E1" w:rsidP="003733D3">
            <w:pPr>
              <w:rPr>
                <w:rFonts w:ascii="Calibri" w:hAnsi="Calibri"/>
                <w:i/>
              </w:rPr>
            </w:pPr>
            <w:r w:rsidRPr="009A5D75">
              <w:rPr>
                <w:rFonts w:ascii="Calibri" w:hAnsi="Calibri"/>
                <w:i/>
              </w:rPr>
              <w:t>Describe rating briefly:</w:t>
            </w:r>
          </w:p>
          <w:p w14:paraId="7D11EF9B" w14:textId="77777777" w:rsidR="002171E1" w:rsidRPr="009A5D75" w:rsidRDefault="002171E1" w:rsidP="003733D3">
            <w:pPr>
              <w:jc w:val="center"/>
              <w:rPr>
                <w:rFonts w:ascii="Calibri" w:hAnsi="Calibri"/>
                <w:b/>
              </w:rPr>
            </w:pPr>
          </w:p>
        </w:tc>
      </w:tr>
      <w:tr w:rsidR="002171E1" w:rsidRPr="009A5D75" w14:paraId="06C0A497" w14:textId="77777777" w:rsidTr="003733D3">
        <w:tc>
          <w:tcPr>
            <w:tcW w:w="13500" w:type="dxa"/>
            <w:gridSpan w:val="3"/>
            <w:tcBorders>
              <w:top w:val="single" w:sz="8" w:space="0" w:color="4F81BD"/>
              <w:left w:val="single" w:sz="8" w:space="0" w:color="4F81BD"/>
              <w:bottom w:val="single" w:sz="8" w:space="0" w:color="4F81BD"/>
              <w:right w:val="single" w:sz="8" w:space="0" w:color="4F81BD"/>
            </w:tcBorders>
            <w:shd w:val="clear" w:color="auto" w:fill="000000" w:themeFill="text1"/>
          </w:tcPr>
          <w:p w14:paraId="18988CD6" w14:textId="77777777" w:rsidR="002171E1" w:rsidRDefault="002171E1" w:rsidP="003733D3">
            <w:pPr>
              <w:rPr>
                <w:rFonts w:ascii="Calibri" w:hAnsi="Calibri"/>
                <w:b/>
              </w:rPr>
            </w:pPr>
            <w:r>
              <w:rPr>
                <w:rFonts w:ascii="Calibri" w:hAnsi="Calibri"/>
                <w:b/>
              </w:rPr>
              <w:t>SERVICE DESIGN &amp; ALIGNMENT</w:t>
            </w:r>
          </w:p>
          <w:p w14:paraId="2F5FBC1E" w14:textId="77777777" w:rsidR="002171E1" w:rsidRPr="00740F09" w:rsidRDefault="002171E1" w:rsidP="003733D3">
            <w:pPr>
              <w:rPr>
                <w:rFonts w:ascii="Calibri" w:hAnsi="Calibri"/>
                <w:b/>
              </w:rPr>
            </w:pPr>
            <w:r w:rsidRPr="00740F09">
              <w:rPr>
                <w:rFonts w:ascii="Calibri" w:hAnsi="Calibri"/>
                <w:b/>
                <w:i/>
              </w:rPr>
              <w:t>Is your organization positioned to prepare a qualified, skilled workforce by facilitating the delivery of high-quality services and programs aligned to sector needs?</w:t>
            </w:r>
          </w:p>
        </w:tc>
      </w:tr>
      <w:tr w:rsidR="002171E1" w:rsidRPr="009A5D75" w14:paraId="302FEB90"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2776F898" w14:textId="77777777" w:rsidR="002171E1" w:rsidRPr="009A5D75" w:rsidRDefault="002171E1" w:rsidP="003733D3">
            <w:pPr>
              <w:rPr>
                <w:rFonts w:ascii="Calibri" w:eastAsia="MS Gothic" w:hAnsi="Calibri"/>
                <w:b/>
                <w:bCs/>
              </w:rPr>
            </w:pPr>
            <w:r>
              <w:rPr>
                <w:rFonts w:ascii="Calibri" w:eastAsia="MS Gothic" w:hAnsi="Calibri" w:cs="Trebuchet MS"/>
                <w:b/>
                <w:bCs/>
                <w:szCs w:val="26"/>
              </w:rPr>
              <w:t>8</w:t>
            </w:r>
            <w:r w:rsidRPr="009A5D75">
              <w:rPr>
                <w:rFonts w:ascii="Calibri" w:eastAsia="MS Gothic" w:hAnsi="Calibri" w:cs="Trebuchet MS"/>
                <w:b/>
                <w:bCs/>
                <w:szCs w:val="26"/>
              </w:rPr>
              <w:t xml:space="preserve">. Capability to fill </w:t>
            </w:r>
            <w:r>
              <w:rPr>
                <w:rFonts w:ascii="Calibri" w:eastAsia="MS Gothic" w:hAnsi="Calibri" w:cs="Trebuchet MS"/>
                <w:b/>
                <w:bCs/>
                <w:szCs w:val="26"/>
              </w:rPr>
              <w:t>the industry’s</w:t>
            </w:r>
            <w:r w:rsidRPr="009A5D75">
              <w:rPr>
                <w:rFonts w:ascii="Calibri" w:eastAsia="MS Gothic" w:hAnsi="Calibri" w:cs="Trebuchet MS"/>
                <w:b/>
                <w:bCs/>
                <w:i/>
                <w:szCs w:val="26"/>
              </w:rPr>
              <w:t xml:space="preserve"> immediate</w:t>
            </w:r>
            <w:r w:rsidRPr="009A5D75">
              <w:rPr>
                <w:rFonts w:ascii="Calibri" w:eastAsia="MS Gothic" w:hAnsi="Calibri" w:cs="Trebuchet MS"/>
                <w:b/>
                <w:bCs/>
                <w:szCs w:val="26"/>
              </w:rPr>
              <w:t xml:space="preserve"> </w:t>
            </w:r>
            <w:r>
              <w:rPr>
                <w:rFonts w:ascii="Calibri" w:eastAsia="MS Gothic" w:hAnsi="Calibri" w:cs="Trebuchet MS"/>
                <w:b/>
                <w:bCs/>
                <w:szCs w:val="26"/>
              </w:rPr>
              <w:t xml:space="preserve">workforce </w:t>
            </w:r>
            <w:r w:rsidRPr="009A5D75">
              <w:rPr>
                <w:rFonts w:ascii="Calibri" w:eastAsia="MS Gothic" w:hAnsi="Calibri" w:cs="Trebuchet MS"/>
                <w:b/>
                <w:bCs/>
                <w:szCs w:val="26"/>
              </w:rPr>
              <w:t xml:space="preserve">needs </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1A2B9A7D" w14:textId="77777777" w:rsidR="002171E1" w:rsidRDefault="002171E1" w:rsidP="002171E1">
            <w:pPr>
              <w:pStyle w:val="ColorfulList-Accent11"/>
              <w:numPr>
                <w:ilvl w:val="0"/>
                <w:numId w:val="7"/>
              </w:numPr>
              <w:ind w:left="342" w:hanging="270"/>
              <w:rPr>
                <w:rFonts w:ascii="Calibri" w:hAnsi="Calibri" w:cs="Trebuchet MS"/>
                <w:sz w:val="22"/>
                <w:szCs w:val="26"/>
              </w:rPr>
            </w:pPr>
            <w:r w:rsidRPr="009A5D75">
              <w:rPr>
                <w:rFonts w:ascii="Calibri" w:hAnsi="Calibri" w:cs="Trebuchet MS"/>
                <w:sz w:val="22"/>
                <w:szCs w:val="26"/>
              </w:rPr>
              <w:t xml:space="preserve">Ability to </w:t>
            </w:r>
            <w:r>
              <w:rPr>
                <w:rFonts w:ascii="Calibri" w:hAnsi="Calibri" w:cs="Trebuchet MS"/>
                <w:sz w:val="22"/>
                <w:szCs w:val="26"/>
              </w:rPr>
              <w:t xml:space="preserve">work with education partners to </w:t>
            </w:r>
            <w:r w:rsidRPr="009A5D75">
              <w:rPr>
                <w:rFonts w:ascii="Calibri" w:hAnsi="Calibri" w:cs="Trebuchet MS"/>
                <w:sz w:val="22"/>
                <w:szCs w:val="26"/>
              </w:rPr>
              <w:t xml:space="preserve">develop </w:t>
            </w:r>
            <w:r>
              <w:rPr>
                <w:rFonts w:ascii="Calibri" w:hAnsi="Calibri" w:cs="Trebuchet MS"/>
                <w:sz w:val="22"/>
                <w:szCs w:val="26"/>
              </w:rPr>
              <w:t xml:space="preserve">responsive </w:t>
            </w:r>
            <w:r w:rsidRPr="009A5D75">
              <w:rPr>
                <w:rFonts w:ascii="Calibri" w:hAnsi="Calibri" w:cs="Trebuchet MS"/>
                <w:sz w:val="22"/>
                <w:szCs w:val="26"/>
              </w:rPr>
              <w:t xml:space="preserve">curriculum/courses for </w:t>
            </w:r>
            <w:r>
              <w:rPr>
                <w:rFonts w:ascii="Calibri" w:hAnsi="Calibri" w:cs="Trebuchet MS"/>
                <w:sz w:val="22"/>
                <w:szCs w:val="26"/>
              </w:rPr>
              <w:t xml:space="preserve">target sectors </w:t>
            </w:r>
            <w:r w:rsidRPr="009A5D75">
              <w:rPr>
                <w:rFonts w:ascii="Calibri" w:hAnsi="Calibri" w:cs="Trebuchet MS"/>
                <w:sz w:val="22"/>
                <w:szCs w:val="26"/>
              </w:rPr>
              <w:t xml:space="preserve">to provide immediate access to </w:t>
            </w:r>
            <w:r>
              <w:rPr>
                <w:rFonts w:ascii="Calibri" w:hAnsi="Calibri" w:cs="Trebuchet MS"/>
                <w:sz w:val="22"/>
                <w:szCs w:val="26"/>
              </w:rPr>
              <w:t xml:space="preserve">customized and </w:t>
            </w:r>
            <w:r w:rsidRPr="009A5D75">
              <w:rPr>
                <w:rFonts w:ascii="Calibri" w:hAnsi="Calibri" w:cs="Trebuchet MS"/>
                <w:sz w:val="22"/>
                <w:szCs w:val="26"/>
              </w:rPr>
              <w:t xml:space="preserve">certification programs </w:t>
            </w:r>
          </w:p>
          <w:p w14:paraId="15D27AE4" w14:textId="28814B37" w:rsidR="002171E1" w:rsidRPr="008C764D" w:rsidRDefault="002171E1" w:rsidP="002171E1">
            <w:pPr>
              <w:pStyle w:val="ColorfulList-Accent11"/>
              <w:numPr>
                <w:ilvl w:val="0"/>
                <w:numId w:val="7"/>
              </w:numPr>
              <w:ind w:left="342" w:hanging="270"/>
              <w:rPr>
                <w:rFonts w:ascii="Calibri" w:hAnsi="Calibri" w:cs="Trebuchet MS"/>
                <w:sz w:val="22"/>
                <w:szCs w:val="26"/>
              </w:rPr>
            </w:pPr>
            <w:r w:rsidRPr="008C764D">
              <w:rPr>
                <w:rFonts w:ascii="Calibri" w:hAnsi="Calibri" w:cs="Trebuchet MS"/>
                <w:sz w:val="22"/>
                <w:szCs w:val="26"/>
              </w:rPr>
              <w:t xml:space="preserve">Ability to work with partners to systematically support target industries in business </w:t>
            </w:r>
            <w:r w:rsidRPr="008C764D">
              <w:rPr>
                <w:rFonts w:ascii="Calibri" w:hAnsi="Calibri"/>
                <w:sz w:val="22"/>
                <w:szCs w:val="22"/>
              </w:rPr>
              <w:t>outreach, hiring services, retention programs</w:t>
            </w:r>
            <w:r w:rsidR="006367C2">
              <w:rPr>
                <w:rFonts w:ascii="Calibri" w:hAnsi="Calibri"/>
                <w:sz w:val="22"/>
                <w:szCs w:val="22"/>
              </w:rPr>
              <w:br/>
            </w:r>
            <w:r w:rsidR="006367C2">
              <w:rPr>
                <w:rFonts w:ascii="Calibri" w:hAnsi="Calibri" w:cs="Trebuchet MS"/>
                <w:sz w:val="22"/>
                <w:szCs w:val="22"/>
              </w:rPr>
              <w:br/>
            </w:r>
            <w:r w:rsidR="006367C2">
              <w:rPr>
                <w:rFonts w:ascii="Calibri" w:hAnsi="Calibri" w:cs="Trebuchet MS"/>
                <w:sz w:val="22"/>
                <w:szCs w:val="22"/>
              </w:rPr>
              <w:br/>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46C12943" w14:textId="77777777" w:rsidR="002171E1" w:rsidRPr="009A5D75" w:rsidRDefault="002171E1" w:rsidP="003733D3">
            <w:pPr>
              <w:jc w:val="center"/>
              <w:rPr>
                <w:rFonts w:ascii="Calibri" w:hAnsi="Calibri"/>
                <w:b/>
              </w:rPr>
            </w:pPr>
            <w:r w:rsidRPr="009A5D75">
              <w:rPr>
                <w:rFonts w:ascii="Calibri" w:hAnsi="Calibri"/>
                <w:b/>
              </w:rPr>
              <w:t>1          2          3          4          5</w:t>
            </w:r>
          </w:p>
          <w:p w14:paraId="16842E66" w14:textId="77777777" w:rsidR="002171E1" w:rsidRPr="009A5D75" w:rsidRDefault="002171E1" w:rsidP="003733D3">
            <w:pPr>
              <w:rPr>
                <w:rFonts w:ascii="Calibri" w:hAnsi="Calibri"/>
                <w:i/>
              </w:rPr>
            </w:pPr>
            <w:r w:rsidRPr="009A5D75">
              <w:rPr>
                <w:rFonts w:ascii="Calibri" w:hAnsi="Calibri"/>
                <w:i/>
              </w:rPr>
              <w:t>Describe rating briefly:</w:t>
            </w:r>
          </w:p>
          <w:p w14:paraId="67F4AA23" w14:textId="77777777" w:rsidR="002171E1" w:rsidRPr="009A5D75" w:rsidRDefault="002171E1" w:rsidP="003733D3">
            <w:pPr>
              <w:rPr>
                <w:rFonts w:ascii="Calibri" w:hAnsi="Calibri"/>
                <w:b/>
              </w:rPr>
            </w:pPr>
          </w:p>
        </w:tc>
      </w:tr>
      <w:tr w:rsidR="002171E1" w:rsidRPr="009A5D75" w14:paraId="0D6123EE"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96CCDE7"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lastRenderedPageBreak/>
              <w:t>9</w:t>
            </w:r>
            <w:r w:rsidRPr="009A5D75">
              <w:rPr>
                <w:rFonts w:ascii="Calibri" w:eastAsia="MS Gothic" w:hAnsi="Calibri" w:cs="Trebuchet MS"/>
                <w:b/>
                <w:bCs/>
                <w:szCs w:val="26"/>
              </w:rPr>
              <w:t xml:space="preserve">. Capability to </w:t>
            </w:r>
            <w:r>
              <w:rPr>
                <w:rFonts w:ascii="Calibri" w:eastAsia="MS Gothic" w:hAnsi="Calibri" w:cs="Trebuchet MS"/>
                <w:b/>
                <w:bCs/>
                <w:szCs w:val="26"/>
              </w:rPr>
              <w:t xml:space="preserve">meet the industry’s </w:t>
            </w:r>
            <w:r w:rsidRPr="00354265">
              <w:rPr>
                <w:rFonts w:ascii="Calibri" w:eastAsia="MS Gothic" w:hAnsi="Calibri" w:cs="Trebuchet MS"/>
                <w:b/>
                <w:bCs/>
                <w:i/>
                <w:szCs w:val="26"/>
              </w:rPr>
              <w:t>longer-term</w:t>
            </w:r>
            <w:r>
              <w:rPr>
                <w:rFonts w:ascii="Calibri" w:eastAsia="MS Gothic" w:hAnsi="Calibri" w:cs="Trebuchet MS"/>
                <w:b/>
                <w:bCs/>
                <w:szCs w:val="26"/>
              </w:rPr>
              <w:t xml:space="preserve"> pipeline needs across a range of skill levels</w:t>
            </w:r>
          </w:p>
        </w:tc>
        <w:tc>
          <w:tcPr>
            <w:tcW w:w="540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E23E18D" w14:textId="77777777" w:rsidR="002171E1" w:rsidRDefault="002171E1" w:rsidP="002171E1">
            <w:pPr>
              <w:pStyle w:val="ColorfulList-Accent11"/>
              <w:numPr>
                <w:ilvl w:val="0"/>
                <w:numId w:val="8"/>
              </w:numPr>
              <w:ind w:left="342" w:hanging="270"/>
              <w:rPr>
                <w:rFonts w:ascii="Calibri" w:hAnsi="Calibri" w:cs="Trebuchet MS"/>
                <w:sz w:val="22"/>
                <w:szCs w:val="26"/>
              </w:rPr>
            </w:pPr>
            <w:r w:rsidRPr="009A5D75">
              <w:rPr>
                <w:rFonts w:ascii="Calibri" w:hAnsi="Calibri" w:cs="Trebuchet MS"/>
                <w:sz w:val="22"/>
                <w:szCs w:val="26"/>
              </w:rPr>
              <w:t>Agility and flexibility to</w:t>
            </w:r>
            <w:r>
              <w:rPr>
                <w:rFonts w:ascii="Calibri" w:hAnsi="Calibri" w:cs="Trebuchet MS"/>
                <w:sz w:val="22"/>
                <w:szCs w:val="26"/>
              </w:rPr>
              <w:t>, with higher education partners,</w:t>
            </w:r>
            <w:r w:rsidRPr="009A5D75">
              <w:rPr>
                <w:rFonts w:ascii="Calibri" w:hAnsi="Calibri" w:cs="Trebuchet MS"/>
                <w:sz w:val="22"/>
                <w:szCs w:val="26"/>
              </w:rPr>
              <w:t xml:space="preserve"> develop new </w:t>
            </w:r>
            <w:r>
              <w:rPr>
                <w:rFonts w:ascii="Calibri" w:hAnsi="Calibri" w:cs="Trebuchet MS"/>
                <w:sz w:val="22"/>
                <w:szCs w:val="26"/>
              </w:rPr>
              <w:t xml:space="preserve">credit-bearing </w:t>
            </w:r>
            <w:r w:rsidRPr="009A5D75">
              <w:rPr>
                <w:rFonts w:ascii="Calibri" w:hAnsi="Calibri" w:cs="Trebuchet MS"/>
                <w:sz w:val="22"/>
                <w:szCs w:val="26"/>
              </w:rPr>
              <w:t>courses/programs rapidly</w:t>
            </w:r>
            <w:r>
              <w:rPr>
                <w:rFonts w:ascii="Calibri" w:hAnsi="Calibri" w:cs="Trebuchet MS"/>
                <w:sz w:val="22"/>
                <w:szCs w:val="26"/>
              </w:rPr>
              <w:t xml:space="preserve"> in target industry areas</w:t>
            </w:r>
          </w:p>
          <w:p w14:paraId="61908E66" w14:textId="77777777" w:rsidR="002171E1" w:rsidRDefault="002171E1" w:rsidP="002171E1">
            <w:pPr>
              <w:pStyle w:val="ColorfulList-Accent11"/>
              <w:numPr>
                <w:ilvl w:val="0"/>
                <w:numId w:val="10"/>
              </w:numPr>
              <w:rPr>
                <w:rFonts w:ascii="Calibri" w:hAnsi="Calibri" w:cs="Trebuchet MS"/>
                <w:sz w:val="22"/>
                <w:szCs w:val="26"/>
              </w:rPr>
            </w:pPr>
            <w:r w:rsidRPr="008C764D">
              <w:rPr>
                <w:rFonts w:ascii="Calibri" w:hAnsi="Calibri" w:cs="Trebuchet MS"/>
                <w:sz w:val="22"/>
                <w:szCs w:val="26"/>
              </w:rPr>
              <w:t xml:space="preserve">Willingness of various educational units (e.g. community colleges, career &amp; technology institutions, private schools) to work together to address </w:t>
            </w:r>
            <w:r>
              <w:rPr>
                <w:rFonts w:ascii="Calibri" w:hAnsi="Calibri" w:cs="Trebuchet MS"/>
                <w:sz w:val="22"/>
                <w:szCs w:val="26"/>
              </w:rPr>
              <w:t>an</w:t>
            </w:r>
            <w:r w:rsidRPr="008C764D">
              <w:rPr>
                <w:rFonts w:ascii="Calibri" w:hAnsi="Calibri" w:cs="Trebuchet MS"/>
                <w:sz w:val="22"/>
                <w:szCs w:val="26"/>
              </w:rPr>
              <w:t xml:space="preserve"> identified regional </w:t>
            </w:r>
            <w:r>
              <w:rPr>
                <w:rFonts w:ascii="Calibri" w:hAnsi="Calibri" w:cs="Trebuchet MS"/>
                <w:sz w:val="22"/>
                <w:szCs w:val="26"/>
              </w:rPr>
              <w:t xml:space="preserve">long-term workforce </w:t>
            </w:r>
            <w:r w:rsidRPr="008C764D">
              <w:rPr>
                <w:rFonts w:ascii="Calibri" w:hAnsi="Calibri" w:cs="Trebuchet MS"/>
                <w:sz w:val="22"/>
                <w:szCs w:val="26"/>
              </w:rPr>
              <w:t>need</w:t>
            </w:r>
          </w:p>
          <w:p w14:paraId="01B3D765" w14:textId="77777777" w:rsidR="002171E1" w:rsidRPr="008C764D" w:rsidRDefault="002171E1" w:rsidP="002171E1">
            <w:pPr>
              <w:pStyle w:val="ColorfulList-Accent11"/>
              <w:numPr>
                <w:ilvl w:val="0"/>
                <w:numId w:val="10"/>
              </w:numPr>
              <w:rPr>
                <w:rFonts w:ascii="Calibri" w:hAnsi="Calibri" w:cs="Trebuchet MS"/>
                <w:sz w:val="22"/>
                <w:szCs w:val="26"/>
              </w:rPr>
            </w:pPr>
            <w:r>
              <w:rPr>
                <w:rFonts w:ascii="Calibri" w:hAnsi="Calibri" w:cs="Trebuchet MS"/>
                <w:sz w:val="22"/>
                <w:szCs w:val="26"/>
              </w:rPr>
              <w:t xml:space="preserve">Partners in place to execute industry career awareness and outreach strategies </w:t>
            </w:r>
          </w:p>
        </w:tc>
        <w:tc>
          <w:tcPr>
            <w:tcW w:w="432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B5AE63A" w14:textId="77777777" w:rsidR="002171E1" w:rsidRPr="009A5D75" w:rsidRDefault="002171E1" w:rsidP="003733D3">
            <w:pPr>
              <w:jc w:val="center"/>
              <w:rPr>
                <w:rFonts w:ascii="Calibri" w:hAnsi="Calibri"/>
                <w:b/>
              </w:rPr>
            </w:pPr>
            <w:r w:rsidRPr="009A5D75">
              <w:rPr>
                <w:rFonts w:ascii="Calibri" w:hAnsi="Calibri"/>
                <w:b/>
              </w:rPr>
              <w:t>1          2          3          4          5</w:t>
            </w:r>
          </w:p>
          <w:p w14:paraId="263559AE" w14:textId="77777777" w:rsidR="002171E1" w:rsidRPr="009A5D75" w:rsidRDefault="002171E1" w:rsidP="003733D3">
            <w:pPr>
              <w:rPr>
                <w:rFonts w:ascii="Calibri" w:hAnsi="Calibri"/>
                <w:i/>
              </w:rPr>
            </w:pPr>
            <w:r w:rsidRPr="009A5D75">
              <w:rPr>
                <w:rFonts w:ascii="Calibri" w:hAnsi="Calibri"/>
                <w:i/>
              </w:rPr>
              <w:t>Describe rating briefly:</w:t>
            </w:r>
          </w:p>
          <w:p w14:paraId="67BE2400" w14:textId="77777777" w:rsidR="002171E1" w:rsidRPr="009A5D75" w:rsidRDefault="002171E1" w:rsidP="003733D3">
            <w:pPr>
              <w:rPr>
                <w:rFonts w:ascii="Calibri" w:hAnsi="Calibri"/>
                <w:i/>
              </w:rPr>
            </w:pPr>
          </w:p>
          <w:p w14:paraId="04781242" w14:textId="77777777" w:rsidR="002171E1" w:rsidRPr="009A5D75" w:rsidRDefault="002171E1" w:rsidP="003733D3">
            <w:pPr>
              <w:rPr>
                <w:rFonts w:ascii="Calibri" w:hAnsi="Calibri"/>
                <w:b/>
              </w:rPr>
            </w:pPr>
          </w:p>
        </w:tc>
      </w:tr>
      <w:tr w:rsidR="002171E1" w:rsidRPr="009A5D75" w14:paraId="24492514"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62AC0C8B"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t>10. Experience with and capability to develop meaningful career pathways in target sector areas</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7D6A1B57" w14:textId="77777777" w:rsidR="002171E1" w:rsidRPr="00CC6763" w:rsidRDefault="002171E1" w:rsidP="002171E1">
            <w:pPr>
              <w:pStyle w:val="ColorfulList-Accent11"/>
              <w:numPr>
                <w:ilvl w:val="0"/>
                <w:numId w:val="7"/>
              </w:numPr>
              <w:rPr>
                <w:rFonts w:asciiTheme="minorHAnsi" w:hAnsiTheme="minorHAnsi" w:cs="Trebuchet MS"/>
                <w:sz w:val="22"/>
                <w:szCs w:val="22"/>
              </w:rPr>
            </w:pPr>
            <w:r w:rsidRPr="00CC6763">
              <w:rPr>
                <w:rFonts w:asciiTheme="minorHAnsi" w:hAnsiTheme="minorHAnsi" w:cs="Trebuchet MS"/>
                <w:sz w:val="22"/>
                <w:szCs w:val="22"/>
              </w:rPr>
              <w:t xml:space="preserve">Commitment </w:t>
            </w:r>
            <w:r>
              <w:rPr>
                <w:rFonts w:asciiTheme="minorHAnsi" w:hAnsiTheme="minorHAnsi" w:cs="Trebuchet MS"/>
                <w:sz w:val="22"/>
                <w:szCs w:val="22"/>
              </w:rPr>
              <w:t xml:space="preserve">and ability </w:t>
            </w:r>
            <w:r w:rsidRPr="00CC6763">
              <w:rPr>
                <w:rFonts w:asciiTheme="minorHAnsi" w:hAnsiTheme="minorHAnsi" w:cs="Trebuchet MS"/>
                <w:sz w:val="22"/>
                <w:szCs w:val="22"/>
              </w:rPr>
              <w:t xml:space="preserve">to </w:t>
            </w:r>
            <w:r>
              <w:rPr>
                <w:rFonts w:asciiTheme="minorHAnsi" w:hAnsiTheme="minorHAnsi" w:cs="Trebuchet MS"/>
                <w:sz w:val="22"/>
                <w:szCs w:val="22"/>
              </w:rPr>
              <w:t>address sector</w:t>
            </w:r>
            <w:r w:rsidRPr="00CC6763">
              <w:rPr>
                <w:rFonts w:asciiTheme="minorHAnsi" w:hAnsiTheme="minorHAnsi" w:cs="Trebuchet MS"/>
                <w:sz w:val="22"/>
                <w:szCs w:val="22"/>
              </w:rPr>
              <w:t>s</w:t>
            </w:r>
            <w:r>
              <w:rPr>
                <w:rFonts w:asciiTheme="minorHAnsi" w:hAnsiTheme="minorHAnsi" w:cs="Trebuchet MS"/>
                <w:sz w:val="22"/>
                <w:szCs w:val="22"/>
              </w:rPr>
              <w:t>’</w:t>
            </w:r>
            <w:r w:rsidRPr="00CC6763">
              <w:rPr>
                <w:rFonts w:asciiTheme="minorHAnsi" w:hAnsiTheme="minorHAnsi" w:cs="Trebuchet MS"/>
                <w:sz w:val="22"/>
                <w:szCs w:val="22"/>
              </w:rPr>
              <w:t xml:space="preserve"> range of skill needs (i.e. entry-level, higher-skills) </w:t>
            </w:r>
          </w:p>
          <w:p w14:paraId="6AA7D98E" w14:textId="77777777" w:rsidR="002171E1" w:rsidRPr="00CC6763" w:rsidRDefault="002171E1" w:rsidP="002171E1">
            <w:pPr>
              <w:pStyle w:val="ListParagraph"/>
              <w:numPr>
                <w:ilvl w:val="0"/>
                <w:numId w:val="7"/>
              </w:numPr>
              <w:contextualSpacing/>
              <w:rPr>
                <w:rFonts w:cs="Trebuchet MS"/>
                <w:b/>
                <w:szCs w:val="26"/>
              </w:rPr>
            </w:pPr>
            <w:r>
              <w:rPr>
                <w:rFonts w:cs="Trebuchet MS"/>
              </w:rPr>
              <w:t>With partners, demonstrated</w:t>
            </w:r>
            <w:r w:rsidRPr="00CC6763">
              <w:rPr>
                <w:rFonts w:cs="Trebuchet MS"/>
              </w:rPr>
              <w:t xml:space="preserve"> experience with designing </w:t>
            </w:r>
            <w:r>
              <w:rPr>
                <w:rFonts w:cs="Trebuchet MS"/>
              </w:rPr>
              <w:t>education and training paths that enable</w:t>
            </w:r>
            <w:r w:rsidRPr="00CC6763">
              <w:rPr>
                <w:rFonts w:cs="Trebuchet MS"/>
              </w:rPr>
              <w:t xml:space="preserve"> students </w:t>
            </w:r>
            <w:r w:rsidRPr="00CC6763">
              <w:t>to move</w:t>
            </w:r>
            <w:r w:rsidRPr="00CC6763">
              <w:rPr>
                <w:spacing w:val="-6"/>
              </w:rPr>
              <w:t xml:space="preserve"> </w:t>
            </w:r>
            <w:r w:rsidRPr="00CC6763">
              <w:t>easily between</w:t>
            </w:r>
            <w:r w:rsidRPr="00CC6763">
              <w:rPr>
                <w:spacing w:val="-7"/>
              </w:rPr>
              <w:t xml:space="preserve"> </w:t>
            </w:r>
            <w:r w:rsidRPr="00CC6763">
              <w:t>academic</w:t>
            </w:r>
            <w:r w:rsidRPr="00CC6763">
              <w:rPr>
                <w:spacing w:val="-8"/>
              </w:rPr>
              <w:t xml:space="preserve"> </w:t>
            </w:r>
            <w:r w:rsidRPr="00CC6763">
              <w:t>a</w:t>
            </w:r>
            <w:r w:rsidRPr="00CC6763">
              <w:rPr>
                <w:spacing w:val="-1"/>
              </w:rPr>
              <w:t>n</w:t>
            </w:r>
            <w:r w:rsidRPr="00CC6763">
              <w:t>d</w:t>
            </w:r>
            <w:r w:rsidRPr="00CC6763">
              <w:rPr>
                <w:spacing w:val="1"/>
              </w:rPr>
              <w:t xml:space="preserve"> </w:t>
            </w:r>
            <w:r w:rsidRPr="00CC6763">
              <w:t>career technical programs</w:t>
            </w:r>
            <w:r>
              <w:rPr>
                <w:spacing w:val="-8"/>
              </w:rPr>
              <w:t xml:space="preserve">, </w:t>
            </w:r>
            <w:r w:rsidRPr="00CC6763">
              <w:t>to</w:t>
            </w:r>
            <w:r w:rsidRPr="00CC6763">
              <w:rPr>
                <w:spacing w:val="-1"/>
              </w:rPr>
              <w:t xml:space="preserve"> </w:t>
            </w:r>
            <w:r w:rsidRPr="00CC6763">
              <w:t>and</w:t>
            </w:r>
            <w:r w:rsidRPr="00CC6763">
              <w:rPr>
                <w:spacing w:val="1"/>
              </w:rPr>
              <w:t xml:space="preserve"> </w:t>
            </w:r>
            <w:r w:rsidRPr="00CC6763">
              <w:t>from</w:t>
            </w:r>
            <w:r w:rsidRPr="00CC6763">
              <w:rPr>
                <w:spacing w:val="-3"/>
              </w:rPr>
              <w:t xml:space="preserve"> </w:t>
            </w:r>
            <w:r w:rsidRPr="00CC6763">
              <w:t>work</w:t>
            </w:r>
            <w:r>
              <w:t>, and to advanced credentials</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44520DA7" w14:textId="77777777" w:rsidR="002171E1" w:rsidRPr="009A5D75" w:rsidRDefault="002171E1" w:rsidP="003733D3">
            <w:pPr>
              <w:jc w:val="center"/>
              <w:rPr>
                <w:rFonts w:ascii="Calibri" w:hAnsi="Calibri"/>
                <w:b/>
              </w:rPr>
            </w:pPr>
            <w:r w:rsidRPr="009A5D75">
              <w:rPr>
                <w:rFonts w:ascii="Calibri" w:hAnsi="Calibri"/>
                <w:b/>
              </w:rPr>
              <w:t>1          2          3          4          5</w:t>
            </w:r>
          </w:p>
          <w:p w14:paraId="02B4BB91" w14:textId="77777777" w:rsidR="002171E1" w:rsidRPr="009A5D75" w:rsidRDefault="002171E1" w:rsidP="003733D3">
            <w:pPr>
              <w:rPr>
                <w:rFonts w:ascii="Calibri" w:hAnsi="Calibri"/>
                <w:i/>
              </w:rPr>
            </w:pPr>
            <w:r w:rsidRPr="009A5D75">
              <w:rPr>
                <w:rFonts w:ascii="Calibri" w:hAnsi="Calibri"/>
                <w:i/>
              </w:rPr>
              <w:t>Describe rating briefly:</w:t>
            </w:r>
          </w:p>
          <w:p w14:paraId="6A8C5296" w14:textId="77777777" w:rsidR="002171E1" w:rsidRPr="009A5D75" w:rsidRDefault="002171E1" w:rsidP="003733D3">
            <w:pPr>
              <w:jc w:val="center"/>
              <w:rPr>
                <w:rFonts w:ascii="Calibri" w:hAnsi="Calibri"/>
                <w:b/>
              </w:rPr>
            </w:pPr>
          </w:p>
        </w:tc>
      </w:tr>
      <w:tr w:rsidR="002171E1" w:rsidRPr="009A5D75" w14:paraId="3114A71B"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FFFFFF"/>
          </w:tcPr>
          <w:p w14:paraId="25203FEB" w14:textId="77777777" w:rsidR="002171E1" w:rsidRPr="00E23698" w:rsidRDefault="002171E1" w:rsidP="003733D3">
            <w:pPr>
              <w:rPr>
                <w:rFonts w:ascii="Calibri" w:eastAsia="MS Gothic" w:hAnsi="Calibri" w:cs="Trebuchet MS"/>
                <w:b/>
                <w:bCs/>
              </w:rPr>
            </w:pPr>
            <w:r>
              <w:rPr>
                <w:rFonts w:ascii="Calibri" w:hAnsi="Calibri" w:cs="Trebuchet MS"/>
                <w:b/>
              </w:rPr>
              <w:t>11. Experience with and c</w:t>
            </w:r>
            <w:r w:rsidRPr="00E23698">
              <w:rPr>
                <w:rFonts w:ascii="Calibri" w:hAnsi="Calibri" w:cs="Trebuchet MS"/>
                <w:b/>
              </w:rPr>
              <w:t xml:space="preserve">apability to design and implement, with employers, “learn and earn” education models </w:t>
            </w:r>
            <w:r>
              <w:rPr>
                <w:rFonts w:ascii="Calibri" w:hAnsi="Calibri" w:cs="Trebuchet MS"/>
                <w:b/>
              </w:rPr>
              <w:t>in targeted sector areas</w:t>
            </w:r>
          </w:p>
        </w:tc>
        <w:tc>
          <w:tcPr>
            <w:tcW w:w="5400" w:type="dxa"/>
            <w:tcBorders>
              <w:top w:val="single" w:sz="8" w:space="0" w:color="4F81BD"/>
              <w:left w:val="single" w:sz="8" w:space="0" w:color="4F81BD"/>
              <w:bottom w:val="single" w:sz="8" w:space="0" w:color="4F81BD"/>
              <w:right w:val="single" w:sz="8" w:space="0" w:color="4F81BD"/>
            </w:tcBorders>
            <w:shd w:val="clear" w:color="auto" w:fill="FFFFFF"/>
          </w:tcPr>
          <w:p w14:paraId="6140D111" w14:textId="77777777" w:rsidR="002171E1" w:rsidRPr="00E23698" w:rsidRDefault="002171E1" w:rsidP="002171E1">
            <w:pPr>
              <w:pStyle w:val="ListParagraph"/>
              <w:numPr>
                <w:ilvl w:val="0"/>
                <w:numId w:val="10"/>
              </w:numPr>
              <w:contextualSpacing/>
              <w:rPr>
                <w:rFonts w:cs="Trebuchet MS"/>
                <w:szCs w:val="26"/>
              </w:rPr>
            </w:pPr>
            <w:r w:rsidRPr="00E23698">
              <w:rPr>
                <w:rFonts w:cs="Trebuchet MS"/>
                <w:szCs w:val="26"/>
              </w:rPr>
              <w:t xml:space="preserve">Ability to build or experience building models such as: </w:t>
            </w:r>
          </w:p>
          <w:p w14:paraId="0EA169F2" w14:textId="77777777" w:rsidR="002171E1" w:rsidRPr="00E23698" w:rsidRDefault="002171E1" w:rsidP="002171E1">
            <w:pPr>
              <w:pStyle w:val="ListParagraph"/>
              <w:numPr>
                <w:ilvl w:val="1"/>
                <w:numId w:val="10"/>
              </w:numPr>
              <w:contextualSpacing/>
              <w:rPr>
                <w:rFonts w:cs="Trebuchet MS"/>
                <w:szCs w:val="26"/>
              </w:rPr>
            </w:pPr>
            <w:r w:rsidRPr="00E23698">
              <w:rPr>
                <w:rFonts w:cs="Trebuchet MS"/>
                <w:szCs w:val="26"/>
              </w:rPr>
              <w:t>On-the-job training</w:t>
            </w:r>
          </w:p>
          <w:p w14:paraId="616A2A8D" w14:textId="77777777" w:rsidR="002171E1" w:rsidRPr="00E23698" w:rsidRDefault="002171E1" w:rsidP="002171E1">
            <w:pPr>
              <w:pStyle w:val="ListParagraph"/>
              <w:numPr>
                <w:ilvl w:val="1"/>
                <w:numId w:val="10"/>
              </w:numPr>
              <w:contextualSpacing/>
              <w:rPr>
                <w:rFonts w:cs="Trebuchet MS"/>
                <w:szCs w:val="26"/>
              </w:rPr>
            </w:pPr>
            <w:r w:rsidRPr="00E23698">
              <w:rPr>
                <w:rFonts w:cs="Trebuchet MS"/>
                <w:szCs w:val="26"/>
              </w:rPr>
              <w:t>Cooperative education</w:t>
            </w:r>
          </w:p>
          <w:p w14:paraId="40EF418F" w14:textId="77777777" w:rsidR="002171E1" w:rsidRDefault="002171E1" w:rsidP="002171E1">
            <w:pPr>
              <w:pStyle w:val="ListParagraph"/>
              <w:numPr>
                <w:ilvl w:val="1"/>
                <w:numId w:val="10"/>
              </w:numPr>
              <w:contextualSpacing/>
              <w:rPr>
                <w:rFonts w:cs="Trebuchet MS"/>
                <w:szCs w:val="26"/>
              </w:rPr>
            </w:pPr>
            <w:r w:rsidRPr="00E23698">
              <w:rPr>
                <w:rFonts w:cs="Trebuchet MS"/>
                <w:szCs w:val="26"/>
              </w:rPr>
              <w:t>Paid internships</w:t>
            </w:r>
          </w:p>
          <w:p w14:paraId="35B2D8BA" w14:textId="77777777" w:rsidR="002171E1" w:rsidRPr="00E23698" w:rsidRDefault="002171E1" w:rsidP="002171E1">
            <w:pPr>
              <w:pStyle w:val="ListParagraph"/>
              <w:numPr>
                <w:ilvl w:val="1"/>
                <w:numId w:val="10"/>
              </w:numPr>
              <w:contextualSpacing/>
              <w:rPr>
                <w:rFonts w:cs="Trebuchet MS"/>
                <w:szCs w:val="26"/>
              </w:rPr>
            </w:pPr>
            <w:r w:rsidRPr="00E23698">
              <w:rPr>
                <w:rFonts w:cs="Trebuchet MS"/>
                <w:szCs w:val="26"/>
              </w:rPr>
              <w:t xml:space="preserve">Pre-apprenticeship or apprenticeship programs </w:t>
            </w:r>
          </w:p>
        </w:tc>
        <w:tc>
          <w:tcPr>
            <w:tcW w:w="4320" w:type="dxa"/>
            <w:tcBorders>
              <w:top w:val="single" w:sz="8" w:space="0" w:color="4F81BD"/>
              <w:left w:val="single" w:sz="8" w:space="0" w:color="4F81BD"/>
              <w:bottom w:val="single" w:sz="8" w:space="0" w:color="4F81BD"/>
              <w:right w:val="single" w:sz="8" w:space="0" w:color="4F81BD"/>
            </w:tcBorders>
            <w:shd w:val="clear" w:color="auto" w:fill="FFFFFF"/>
          </w:tcPr>
          <w:p w14:paraId="29311FE1" w14:textId="77777777" w:rsidR="002171E1" w:rsidRPr="00E23698" w:rsidRDefault="002171E1" w:rsidP="003733D3">
            <w:pPr>
              <w:jc w:val="center"/>
              <w:rPr>
                <w:rFonts w:ascii="Calibri" w:hAnsi="Calibri"/>
                <w:b/>
              </w:rPr>
            </w:pPr>
            <w:r w:rsidRPr="00E23698">
              <w:rPr>
                <w:rFonts w:ascii="Calibri" w:hAnsi="Calibri"/>
                <w:b/>
              </w:rPr>
              <w:t>1          2          3          4          5</w:t>
            </w:r>
          </w:p>
          <w:p w14:paraId="1CE912E7" w14:textId="77777777" w:rsidR="002171E1" w:rsidRPr="00E23698" w:rsidRDefault="002171E1" w:rsidP="003733D3">
            <w:pPr>
              <w:rPr>
                <w:rFonts w:ascii="Calibri" w:hAnsi="Calibri"/>
                <w:i/>
              </w:rPr>
            </w:pPr>
            <w:r w:rsidRPr="00E23698">
              <w:rPr>
                <w:rFonts w:ascii="Calibri" w:hAnsi="Calibri"/>
                <w:i/>
              </w:rPr>
              <w:t>Describe rating briefly:</w:t>
            </w:r>
          </w:p>
          <w:p w14:paraId="3486EB34" w14:textId="77777777" w:rsidR="002171E1" w:rsidRPr="00E23698" w:rsidRDefault="002171E1" w:rsidP="003733D3">
            <w:pPr>
              <w:rPr>
                <w:rFonts w:ascii="Calibri" w:hAnsi="Calibri"/>
                <w:i/>
              </w:rPr>
            </w:pPr>
          </w:p>
          <w:p w14:paraId="36FA0814" w14:textId="77777777" w:rsidR="002171E1" w:rsidRPr="00E23698" w:rsidRDefault="002171E1" w:rsidP="003733D3">
            <w:pPr>
              <w:jc w:val="center"/>
              <w:rPr>
                <w:rFonts w:ascii="Calibri" w:hAnsi="Calibri"/>
                <w:b/>
              </w:rPr>
            </w:pPr>
          </w:p>
        </w:tc>
      </w:tr>
      <w:tr w:rsidR="002171E1" w:rsidRPr="009A5D75" w14:paraId="4D15ABEE"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FFFFFF"/>
          </w:tcPr>
          <w:p w14:paraId="005B875C" w14:textId="77777777" w:rsidR="002171E1" w:rsidRDefault="002171E1" w:rsidP="003733D3">
            <w:pPr>
              <w:rPr>
                <w:rFonts w:ascii="Calibri" w:hAnsi="Calibri" w:cs="Trebuchet MS"/>
                <w:b/>
              </w:rPr>
            </w:pPr>
            <w:r>
              <w:rPr>
                <w:rFonts w:ascii="Calibri" w:eastAsia="MS Gothic" w:hAnsi="Calibri" w:cs="Trebuchet MS"/>
                <w:b/>
                <w:bCs/>
                <w:szCs w:val="26"/>
              </w:rPr>
              <w:t>12. Capability to respond to non-workforce needs directly related to the industry’s economic development or growth opportunities</w:t>
            </w:r>
          </w:p>
        </w:tc>
        <w:tc>
          <w:tcPr>
            <w:tcW w:w="5400" w:type="dxa"/>
            <w:tcBorders>
              <w:top w:val="single" w:sz="8" w:space="0" w:color="4F81BD"/>
              <w:left w:val="single" w:sz="8" w:space="0" w:color="4F81BD"/>
              <w:bottom w:val="single" w:sz="8" w:space="0" w:color="4F81BD"/>
              <w:right w:val="single" w:sz="8" w:space="0" w:color="4F81BD"/>
            </w:tcBorders>
            <w:shd w:val="clear" w:color="auto" w:fill="FFFFFF"/>
          </w:tcPr>
          <w:p w14:paraId="52649203" w14:textId="145E55AC" w:rsidR="002171E1" w:rsidRDefault="002171E1" w:rsidP="002171E1">
            <w:pPr>
              <w:pStyle w:val="ColorfulList-Accent11"/>
              <w:numPr>
                <w:ilvl w:val="0"/>
                <w:numId w:val="10"/>
              </w:numPr>
              <w:rPr>
                <w:rFonts w:ascii="Calibri" w:hAnsi="Calibri" w:cs="Trebuchet MS"/>
                <w:sz w:val="22"/>
                <w:szCs w:val="26"/>
              </w:rPr>
            </w:pPr>
            <w:r>
              <w:rPr>
                <w:rFonts w:ascii="Calibri" w:hAnsi="Calibri" w:cs="Trebuchet MS"/>
                <w:sz w:val="22"/>
                <w:szCs w:val="26"/>
              </w:rPr>
              <w:t>Openness and willingness to address non-workforce issues in partnership with employers (e.g. marketing and branding, access to technology and innovations, streamlining suppliers or supply chains, transportation and logistics issues, etc</w:t>
            </w:r>
            <w:r w:rsidR="006367C2">
              <w:rPr>
                <w:rFonts w:ascii="Calibri" w:hAnsi="Calibri" w:cs="Trebuchet MS"/>
                <w:sz w:val="22"/>
                <w:szCs w:val="26"/>
              </w:rPr>
              <w:t>.</w:t>
            </w:r>
            <w:r>
              <w:rPr>
                <w:rFonts w:ascii="Calibri" w:hAnsi="Calibri" w:cs="Trebuchet MS"/>
                <w:sz w:val="22"/>
                <w:szCs w:val="26"/>
              </w:rPr>
              <w:t>)</w:t>
            </w:r>
          </w:p>
          <w:p w14:paraId="774262C4" w14:textId="77777777" w:rsidR="002171E1" w:rsidRDefault="002171E1" w:rsidP="002171E1">
            <w:pPr>
              <w:pStyle w:val="ColorfulList-Accent11"/>
              <w:numPr>
                <w:ilvl w:val="0"/>
                <w:numId w:val="10"/>
              </w:numPr>
              <w:rPr>
                <w:rFonts w:ascii="Calibri" w:hAnsi="Calibri" w:cs="Trebuchet MS"/>
                <w:sz w:val="22"/>
                <w:szCs w:val="26"/>
              </w:rPr>
            </w:pPr>
            <w:r>
              <w:rPr>
                <w:rFonts w:ascii="Calibri" w:hAnsi="Calibri" w:cs="Trebuchet MS"/>
                <w:sz w:val="22"/>
                <w:szCs w:val="26"/>
              </w:rPr>
              <w:t>The right partners are at the table to help address non-workforce issues quickly and meaningfully</w:t>
            </w:r>
          </w:p>
          <w:p w14:paraId="48D3F416" w14:textId="48BE17FF" w:rsidR="002171E1" w:rsidRPr="00E23698" w:rsidRDefault="002171E1" w:rsidP="002171E1">
            <w:pPr>
              <w:pStyle w:val="ListParagraph"/>
              <w:numPr>
                <w:ilvl w:val="0"/>
                <w:numId w:val="10"/>
              </w:numPr>
              <w:contextualSpacing/>
              <w:rPr>
                <w:rFonts w:cs="Trebuchet MS"/>
                <w:szCs w:val="26"/>
              </w:rPr>
            </w:pPr>
            <w:r>
              <w:rPr>
                <w:rFonts w:cs="Trebuchet MS"/>
                <w:szCs w:val="26"/>
              </w:rPr>
              <w:t>Sector partnership organizes itself into committees that can help organize responses and action focused on critical non-workforce issues</w:t>
            </w:r>
            <w:r w:rsidR="006367C2">
              <w:rPr>
                <w:rFonts w:cs="Trebuchet MS"/>
                <w:szCs w:val="26"/>
              </w:rPr>
              <w:br/>
            </w:r>
            <w:r w:rsidR="006367C2">
              <w:rPr>
                <w:rFonts w:cs="Trebuchet MS"/>
                <w:szCs w:val="26"/>
              </w:rPr>
              <w:br/>
            </w:r>
          </w:p>
        </w:tc>
        <w:tc>
          <w:tcPr>
            <w:tcW w:w="4320" w:type="dxa"/>
            <w:tcBorders>
              <w:top w:val="single" w:sz="8" w:space="0" w:color="4F81BD"/>
              <w:left w:val="single" w:sz="8" w:space="0" w:color="4F81BD"/>
              <w:bottom w:val="single" w:sz="8" w:space="0" w:color="4F81BD"/>
              <w:right w:val="single" w:sz="8" w:space="0" w:color="4F81BD"/>
            </w:tcBorders>
            <w:shd w:val="clear" w:color="auto" w:fill="FFFFFF"/>
          </w:tcPr>
          <w:p w14:paraId="0647C5A4" w14:textId="77777777" w:rsidR="002171E1" w:rsidRPr="00E23698" w:rsidRDefault="002171E1" w:rsidP="003733D3">
            <w:pPr>
              <w:jc w:val="center"/>
              <w:rPr>
                <w:rFonts w:ascii="Calibri" w:hAnsi="Calibri"/>
                <w:b/>
              </w:rPr>
            </w:pPr>
            <w:r w:rsidRPr="00E23698">
              <w:rPr>
                <w:rFonts w:ascii="Calibri" w:hAnsi="Calibri"/>
                <w:b/>
              </w:rPr>
              <w:t>1          2          3          4          5</w:t>
            </w:r>
          </w:p>
          <w:p w14:paraId="63B81C3C" w14:textId="77777777" w:rsidR="002171E1" w:rsidRPr="00E23698" w:rsidRDefault="002171E1" w:rsidP="003733D3">
            <w:pPr>
              <w:rPr>
                <w:rFonts w:ascii="Calibri" w:hAnsi="Calibri"/>
                <w:i/>
              </w:rPr>
            </w:pPr>
            <w:r w:rsidRPr="00E23698">
              <w:rPr>
                <w:rFonts w:ascii="Calibri" w:hAnsi="Calibri"/>
                <w:i/>
              </w:rPr>
              <w:t>Describe rating briefly:</w:t>
            </w:r>
          </w:p>
          <w:p w14:paraId="29200968" w14:textId="77777777" w:rsidR="002171E1" w:rsidRPr="00E23698" w:rsidRDefault="002171E1" w:rsidP="003733D3">
            <w:pPr>
              <w:jc w:val="center"/>
              <w:rPr>
                <w:rFonts w:ascii="Calibri" w:hAnsi="Calibri"/>
                <w:b/>
              </w:rPr>
            </w:pPr>
          </w:p>
        </w:tc>
      </w:tr>
      <w:tr w:rsidR="002171E1" w:rsidRPr="009A5D75" w14:paraId="212EA330" w14:textId="77777777" w:rsidTr="003733D3">
        <w:tc>
          <w:tcPr>
            <w:tcW w:w="13500" w:type="dxa"/>
            <w:gridSpan w:val="3"/>
            <w:tcBorders>
              <w:top w:val="single" w:sz="8" w:space="0" w:color="4F81BD"/>
              <w:left w:val="single" w:sz="8" w:space="0" w:color="4F81BD"/>
              <w:bottom w:val="single" w:sz="8" w:space="0" w:color="4F81BD"/>
              <w:right w:val="single" w:sz="8" w:space="0" w:color="4F81BD"/>
            </w:tcBorders>
            <w:shd w:val="clear" w:color="auto" w:fill="000000" w:themeFill="text1"/>
          </w:tcPr>
          <w:p w14:paraId="5371986F" w14:textId="77777777" w:rsidR="002171E1" w:rsidRPr="00740F09" w:rsidRDefault="002171E1" w:rsidP="003733D3">
            <w:pPr>
              <w:pStyle w:val="ColorfulList-Accent11"/>
              <w:ind w:left="0"/>
              <w:rPr>
                <w:rFonts w:ascii="Calibri" w:hAnsi="Calibri"/>
              </w:rPr>
            </w:pPr>
            <w:r w:rsidRPr="00740F09">
              <w:rPr>
                <w:rFonts w:ascii="Calibri" w:hAnsi="Calibri"/>
                <w:b/>
              </w:rPr>
              <w:lastRenderedPageBreak/>
              <w:t>PARTNERSHIPS</w:t>
            </w:r>
          </w:p>
          <w:p w14:paraId="47F1C566" w14:textId="77777777" w:rsidR="002171E1" w:rsidRPr="00740F09" w:rsidRDefault="002171E1" w:rsidP="003733D3">
            <w:pPr>
              <w:pStyle w:val="ColorfulList-Accent11"/>
              <w:ind w:left="0"/>
              <w:rPr>
                <w:rFonts w:asciiTheme="minorHAnsi" w:hAnsiTheme="minorHAnsi"/>
                <w:i/>
                <w:sz w:val="22"/>
                <w:szCs w:val="22"/>
              </w:rPr>
            </w:pPr>
            <w:r w:rsidRPr="00CC3E00">
              <w:rPr>
                <w:rFonts w:ascii="Calibri" w:hAnsi="Calibri"/>
                <w:i/>
                <w:sz w:val="22"/>
              </w:rPr>
              <w:t>Is your organization positioned to</w:t>
            </w:r>
            <w:r>
              <w:rPr>
                <w:rFonts w:ascii="Calibri" w:hAnsi="Calibri"/>
                <w:i/>
                <w:sz w:val="22"/>
              </w:rPr>
              <w:t xml:space="preserve"> </w:t>
            </w:r>
            <w:r w:rsidRPr="00C7102F">
              <w:rPr>
                <w:rFonts w:asciiTheme="minorHAnsi" w:hAnsiTheme="minorHAnsi"/>
                <w:i/>
                <w:sz w:val="22"/>
                <w:szCs w:val="22"/>
              </w:rPr>
              <w:t xml:space="preserve">facilitate a </w:t>
            </w:r>
            <w:r w:rsidRPr="00C7102F">
              <w:rPr>
                <w:rFonts w:asciiTheme="minorHAnsi" w:hAnsiTheme="minorHAnsi"/>
                <w:i/>
                <w:iCs/>
                <w:sz w:val="22"/>
                <w:szCs w:val="22"/>
              </w:rPr>
              <w:t xml:space="preserve">shared sector strategy agenda </w:t>
            </w:r>
            <w:r w:rsidRPr="00C7102F">
              <w:rPr>
                <w:rFonts w:asciiTheme="minorHAnsi" w:hAnsiTheme="minorHAnsi"/>
                <w:i/>
                <w:sz w:val="22"/>
                <w:szCs w:val="22"/>
              </w:rPr>
              <w:t>across employers and sector partners?</w:t>
            </w:r>
          </w:p>
        </w:tc>
      </w:tr>
      <w:tr w:rsidR="002171E1" w:rsidRPr="009A5D75" w14:paraId="25DFAA8D"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153726B5"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t xml:space="preserve">13. </w:t>
            </w:r>
            <w:r w:rsidRPr="009A5D75">
              <w:rPr>
                <w:rFonts w:ascii="Calibri" w:eastAsia="MS Gothic" w:hAnsi="Calibri" w:cs="Trebuchet MS"/>
                <w:b/>
                <w:bCs/>
                <w:szCs w:val="26"/>
              </w:rPr>
              <w:t xml:space="preserve">Industry as a true strategic partner in building and enhancing </w:t>
            </w:r>
            <w:r>
              <w:rPr>
                <w:rFonts w:ascii="Calibri" w:eastAsia="MS Gothic" w:hAnsi="Calibri" w:cs="Trebuchet MS"/>
                <w:b/>
                <w:bCs/>
                <w:szCs w:val="26"/>
              </w:rPr>
              <w:t xml:space="preserve">services and </w:t>
            </w:r>
            <w:r w:rsidRPr="009A5D75">
              <w:rPr>
                <w:rFonts w:ascii="Calibri" w:eastAsia="MS Gothic" w:hAnsi="Calibri" w:cs="Trebuchet MS"/>
                <w:b/>
                <w:bCs/>
                <w:szCs w:val="26"/>
              </w:rPr>
              <w:t>programs, and engaged in a variety of meaningful ways</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7FD49F0E" w14:textId="77777777" w:rsidR="002171E1" w:rsidRPr="009A5D75" w:rsidRDefault="002171E1" w:rsidP="002171E1">
            <w:pPr>
              <w:pStyle w:val="ColorfulList-Accent11"/>
              <w:numPr>
                <w:ilvl w:val="0"/>
                <w:numId w:val="7"/>
              </w:numPr>
              <w:rPr>
                <w:rFonts w:ascii="Calibri" w:hAnsi="Calibri"/>
                <w:b/>
                <w:sz w:val="22"/>
                <w:szCs w:val="22"/>
              </w:rPr>
            </w:pPr>
            <w:r w:rsidRPr="009A5D75">
              <w:rPr>
                <w:rFonts w:ascii="Calibri" w:hAnsi="Calibri" w:cs="Trebuchet MS"/>
                <w:sz w:val="22"/>
                <w:szCs w:val="26"/>
              </w:rPr>
              <w:t xml:space="preserve">Industry partners help define program strategy and goals, identify necessary skills, competencies, and </w:t>
            </w:r>
            <w:r>
              <w:rPr>
                <w:rFonts w:ascii="Calibri" w:hAnsi="Calibri" w:cs="Trebuchet MS"/>
                <w:sz w:val="22"/>
                <w:szCs w:val="26"/>
              </w:rPr>
              <w:t xml:space="preserve">commit </w:t>
            </w:r>
            <w:r w:rsidRPr="009A5D75">
              <w:rPr>
                <w:rFonts w:ascii="Calibri" w:hAnsi="Calibri" w:cs="Trebuchet MS"/>
                <w:sz w:val="22"/>
                <w:szCs w:val="26"/>
              </w:rPr>
              <w:t>resources to support education (e.g., equipment, instructors, internships), and, where appropriate, hire qualified students who complete programs</w:t>
            </w:r>
            <w:r w:rsidRPr="009A5D75">
              <w:rPr>
                <w:rFonts w:ascii="Calibri" w:hAnsi="Calibri"/>
                <w:b/>
                <w:sz w:val="22"/>
                <w:szCs w:val="22"/>
              </w:rPr>
              <w:t xml:space="preserve"> </w:t>
            </w:r>
          </w:p>
          <w:p w14:paraId="1AE6C9DC" w14:textId="77777777" w:rsidR="002171E1" w:rsidRPr="000E24D8" w:rsidRDefault="002171E1" w:rsidP="002171E1">
            <w:pPr>
              <w:pStyle w:val="ColorfulList-Accent11"/>
              <w:numPr>
                <w:ilvl w:val="0"/>
                <w:numId w:val="7"/>
              </w:numPr>
              <w:rPr>
                <w:rFonts w:ascii="Calibri" w:hAnsi="Calibri" w:cs="Trebuchet MS"/>
                <w:sz w:val="22"/>
                <w:szCs w:val="26"/>
              </w:rPr>
            </w:pPr>
            <w:r>
              <w:rPr>
                <w:rFonts w:ascii="Calibri" w:hAnsi="Calibri"/>
                <w:sz w:val="22"/>
                <w:szCs w:val="22"/>
              </w:rPr>
              <w:t xml:space="preserve">Specific vehicles for soliciting ongoing feedback from </w:t>
            </w:r>
            <w:r w:rsidRPr="009A5D75">
              <w:rPr>
                <w:rFonts w:ascii="Calibri" w:hAnsi="Calibri"/>
                <w:sz w:val="22"/>
                <w:szCs w:val="22"/>
              </w:rPr>
              <w:t xml:space="preserve">industry partners (not just during </w:t>
            </w:r>
            <w:r>
              <w:rPr>
                <w:rFonts w:ascii="Calibri" w:hAnsi="Calibri"/>
                <w:sz w:val="22"/>
                <w:szCs w:val="22"/>
              </w:rPr>
              <w:t>WIB or college advisory</w:t>
            </w:r>
            <w:r w:rsidRPr="009A5D75">
              <w:rPr>
                <w:rFonts w:ascii="Calibri" w:hAnsi="Calibri"/>
                <w:sz w:val="22"/>
                <w:szCs w:val="22"/>
              </w:rPr>
              <w:t xml:space="preserve"> m</w:t>
            </w:r>
            <w:r>
              <w:rPr>
                <w:rFonts w:ascii="Calibri" w:hAnsi="Calibri"/>
                <w:sz w:val="22"/>
                <w:szCs w:val="22"/>
              </w:rPr>
              <w:t>ee</w:t>
            </w:r>
            <w:r w:rsidRPr="009A5D75">
              <w:rPr>
                <w:rFonts w:ascii="Calibri" w:hAnsi="Calibri"/>
                <w:sz w:val="22"/>
                <w:szCs w:val="22"/>
              </w:rPr>
              <w:t>t</w:t>
            </w:r>
            <w:r>
              <w:rPr>
                <w:rFonts w:ascii="Calibri" w:hAnsi="Calibri"/>
                <w:sz w:val="22"/>
                <w:szCs w:val="22"/>
              </w:rPr>
              <w:t>in</w:t>
            </w:r>
            <w:r w:rsidRPr="009A5D75">
              <w:rPr>
                <w:rFonts w:ascii="Calibri" w:hAnsi="Calibri"/>
                <w:sz w:val="22"/>
                <w:szCs w:val="22"/>
              </w:rPr>
              <w:t>gs)</w:t>
            </w:r>
          </w:p>
          <w:p w14:paraId="22DAB472" w14:textId="77777777" w:rsidR="002171E1" w:rsidRPr="00CC6763" w:rsidRDefault="002171E1" w:rsidP="002171E1">
            <w:pPr>
              <w:pStyle w:val="ColorfulList-Accent11"/>
              <w:numPr>
                <w:ilvl w:val="0"/>
                <w:numId w:val="7"/>
              </w:numPr>
              <w:rPr>
                <w:rFonts w:ascii="Calibri" w:hAnsi="Calibri" w:cs="Trebuchet MS"/>
                <w:sz w:val="22"/>
                <w:szCs w:val="22"/>
              </w:rPr>
            </w:pPr>
            <w:r w:rsidRPr="008C764D">
              <w:rPr>
                <w:rFonts w:ascii="Calibri" w:hAnsi="Calibri" w:cs="Trebuchet MS"/>
                <w:sz w:val="22"/>
                <w:szCs w:val="22"/>
              </w:rPr>
              <w:t>Ability to ID and convene</w:t>
            </w:r>
            <w:r w:rsidRPr="008C764D">
              <w:rPr>
                <w:rFonts w:ascii="Calibri" w:hAnsi="Calibri"/>
                <w:sz w:val="22"/>
                <w:szCs w:val="22"/>
              </w:rPr>
              <w:t xml:space="preserve"> a network of large and small </w:t>
            </w:r>
            <w:r>
              <w:rPr>
                <w:rFonts w:ascii="Calibri" w:hAnsi="Calibri"/>
                <w:sz w:val="22"/>
                <w:szCs w:val="22"/>
              </w:rPr>
              <w:t>employers within the sector(s)</w:t>
            </w:r>
          </w:p>
          <w:p w14:paraId="3B4943BE" w14:textId="77777777" w:rsidR="002171E1" w:rsidRPr="008C764D" w:rsidRDefault="002171E1" w:rsidP="002171E1">
            <w:pPr>
              <w:pStyle w:val="ColorfulList-Accent11"/>
              <w:numPr>
                <w:ilvl w:val="0"/>
                <w:numId w:val="7"/>
              </w:numPr>
              <w:rPr>
                <w:rFonts w:ascii="Calibri" w:hAnsi="Calibri" w:cs="Trebuchet MS"/>
                <w:sz w:val="22"/>
                <w:szCs w:val="22"/>
              </w:rPr>
            </w:pPr>
            <w:r>
              <w:rPr>
                <w:rFonts w:ascii="Calibri" w:hAnsi="Calibri"/>
                <w:sz w:val="22"/>
                <w:szCs w:val="22"/>
              </w:rPr>
              <w:t>A smaller number of business “champions” has been identified who can encourage wider industry engagement</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04B8B10F" w14:textId="77777777" w:rsidR="002171E1" w:rsidRPr="009A5D75" w:rsidRDefault="002171E1" w:rsidP="003733D3">
            <w:pPr>
              <w:jc w:val="center"/>
              <w:rPr>
                <w:rFonts w:ascii="Calibri" w:hAnsi="Calibri"/>
                <w:b/>
              </w:rPr>
            </w:pPr>
            <w:r w:rsidRPr="009A5D75">
              <w:rPr>
                <w:rFonts w:ascii="Calibri" w:hAnsi="Calibri"/>
                <w:b/>
              </w:rPr>
              <w:t>1          2          3          4          5</w:t>
            </w:r>
          </w:p>
          <w:p w14:paraId="4784C9E6" w14:textId="77777777" w:rsidR="002171E1" w:rsidRPr="009A5D75" w:rsidRDefault="002171E1" w:rsidP="003733D3">
            <w:pPr>
              <w:rPr>
                <w:rFonts w:ascii="Calibri" w:hAnsi="Calibri"/>
                <w:i/>
              </w:rPr>
            </w:pPr>
            <w:r w:rsidRPr="009A5D75">
              <w:rPr>
                <w:rFonts w:ascii="Calibri" w:hAnsi="Calibri"/>
                <w:i/>
              </w:rPr>
              <w:t>Describe rating briefly:</w:t>
            </w:r>
          </w:p>
          <w:p w14:paraId="4C424862" w14:textId="77777777" w:rsidR="002171E1" w:rsidRPr="009A5D75" w:rsidRDefault="002171E1" w:rsidP="003733D3">
            <w:pPr>
              <w:jc w:val="center"/>
              <w:rPr>
                <w:rFonts w:ascii="Calibri" w:hAnsi="Calibri"/>
                <w:b/>
              </w:rPr>
            </w:pPr>
          </w:p>
        </w:tc>
      </w:tr>
      <w:tr w:rsidR="002171E1" w:rsidRPr="009A5D75" w14:paraId="6696FF01"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auto"/>
          </w:tcPr>
          <w:p w14:paraId="109E99A0" w14:textId="77777777" w:rsidR="002171E1" w:rsidRPr="008C56A7" w:rsidRDefault="002171E1" w:rsidP="003733D3">
            <w:pPr>
              <w:rPr>
                <w:rFonts w:ascii="Calibri" w:hAnsi="Calibri" w:cs="Trebuchet MS"/>
                <w:b/>
                <w:szCs w:val="26"/>
              </w:rPr>
            </w:pPr>
            <w:r>
              <w:rPr>
                <w:rFonts w:ascii="Calibri" w:hAnsi="Calibri" w:cs="Trebuchet MS"/>
                <w:szCs w:val="26"/>
              </w:rPr>
              <w:t xml:space="preserve">14. </w:t>
            </w:r>
            <w:r w:rsidRPr="008C56A7">
              <w:rPr>
                <w:rFonts w:ascii="Calibri" w:hAnsi="Calibri" w:cs="Trebuchet MS"/>
                <w:b/>
                <w:szCs w:val="26"/>
              </w:rPr>
              <w:t>Partnerships with wide array of industry associations and labor unions</w:t>
            </w:r>
          </w:p>
          <w:p w14:paraId="2F783DA8" w14:textId="77777777" w:rsidR="002171E1" w:rsidRPr="008C56A7" w:rsidRDefault="002171E1" w:rsidP="003733D3">
            <w:pPr>
              <w:rPr>
                <w:rFonts w:ascii="Calibri" w:hAnsi="Calibri" w:cs="Trebuchet MS"/>
                <w:b/>
                <w:szCs w:val="26"/>
              </w:rPr>
            </w:pPr>
            <w:r w:rsidRPr="008C56A7">
              <w:rPr>
                <w:rFonts w:ascii="Calibri" w:hAnsi="Calibri" w:cs="Trebuchet MS"/>
                <w:b/>
                <w:szCs w:val="26"/>
              </w:rPr>
              <w:t>that support the training and possible placement of workers in targeted sectors</w:t>
            </w:r>
          </w:p>
          <w:p w14:paraId="32E22827" w14:textId="77777777" w:rsidR="002171E1" w:rsidRDefault="002171E1" w:rsidP="003733D3">
            <w:pPr>
              <w:rPr>
                <w:rFonts w:ascii="Calibri" w:eastAsia="MS Gothic" w:hAnsi="Calibri" w:cs="Trebuchet MS"/>
                <w:b/>
                <w:bCs/>
                <w:szCs w:val="26"/>
              </w:rPr>
            </w:pPr>
          </w:p>
        </w:tc>
        <w:tc>
          <w:tcPr>
            <w:tcW w:w="5400" w:type="dxa"/>
            <w:tcBorders>
              <w:top w:val="single" w:sz="8" w:space="0" w:color="4F81BD"/>
              <w:left w:val="single" w:sz="8" w:space="0" w:color="4F81BD"/>
              <w:bottom w:val="single" w:sz="8" w:space="0" w:color="4F81BD"/>
              <w:right w:val="single" w:sz="8" w:space="0" w:color="4F81BD"/>
            </w:tcBorders>
            <w:shd w:val="clear" w:color="auto" w:fill="auto"/>
          </w:tcPr>
          <w:p w14:paraId="292B3D01" w14:textId="77777777" w:rsidR="002171E1" w:rsidRPr="008D526C" w:rsidRDefault="002171E1" w:rsidP="002171E1">
            <w:pPr>
              <w:pStyle w:val="ListParagraph"/>
              <w:numPr>
                <w:ilvl w:val="0"/>
                <w:numId w:val="31"/>
              </w:numPr>
              <w:rPr>
                <w:rFonts w:eastAsia="Times New Roman"/>
              </w:rPr>
            </w:pPr>
            <w:r w:rsidRPr="008D526C">
              <w:rPr>
                <w:rFonts w:eastAsia="Times New Roman"/>
              </w:rPr>
              <w:t>Unions/industry associations advise on curriculum and program design and align training and</w:t>
            </w:r>
            <w:r>
              <w:rPr>
                <w:rFonts w:eastAsia="Times New Roman"/>
              </w:rPr>
              <w:t xml:space="preserve"> s</w:t>
            </w:r>
            <w:r w:rsidRPr="008D526C">
              <w:rPr>
                <w:rFonts w:eastAsia="Times New Roman"/>
              </w:rPr>
              <w:t xml:space="preserve">ervices </w:t>
            </w:r>
            <w:r>
              <w:rPr>
                <w:rFonts w:eastAsia="Times New Roman"/>
              </w:rPr>
              <w:t>with programs in targeted sector areas</w:t>
            </w:r>
          </w:p>
        </w:tc>
        <w:tc>
          <w:tcPr>
            <w:tcW w:w="4320" w:type="dxa"/>
            <w:tcBorders>
              <w:top w:val="single" w:sz="8" w:space="0" w:color="4F81BD"/>
              <w:left w:val="single" w:sz="8" w:space="0" w:color="4F81BD"/>
              <w:bottom w:val="single" w:sz="8" w:space="0" w:color="4F81BD"/>
              <w:right w:val="single" w:sz="8" w:space="0" w:color="4F81BD"/>
            </w:tcBorders>
            <w:shd w:val="clear" w:color="auto" w:fill="auto"/>
          </w:tcPr>
          <w:p w14:paraId="7AD02B39" w14:textId="77777777" w:rsidR="002171E1" w:rsidRPr="009A5D75" w:rsidRDefault="002171E1" w:rsidP="003733D3">
            <w:pPr>
              <w:jc w:val="center"/>
              <w:rPr>
                <w:rFonts w:ascii="Calibri" w:hAnsi="Calibri"/>
                <w:b/>
              </w:rPr>
            </w:pPr>
            <w:r w:rsidRPr="009A5D75">
              <w:rPr>
                <w:rFonts w:ascii="Calibri" w:hAnsi="Calibri"/>
                <w:b/>
              </w:rPr>
              <w:t>1          2          3          4          5</w:t>
            </w:r>
          </w:p>
          <w:p w14:paraId="54E975D3" w14:textId="77777777" w:rsidR="002171E1" w:rsidRPr="009A5D75" w:rsidRDefault="002171E1" w:rsidP="003733D3">
            <w:pPr>
              <w:rPr>
                <w:rFonts w:ascii="Calibri" w:hAnsi="Calibri"/>
                <w:i/>
              </w:rPr>
            </w:pPr>
            <w:r w:rsidRPr="009A5D75">
              <w:rPr>
                <w:rFonts w:ascii="Calibri" w:hAnsi="Calibri"/>
                <w:i/>
              </w:rPr>
              <w:t>Describe rating briefly:</w:t>
            </w:r>
          </w:p>
          <w:p w14:paraId="1B59FEF7" w14:textId="77777777" w:rsidR="002171E1" w:rsidRPr="009A5D75" w:rsidRDefault="002171E1" w:rsidP="003733D3">
            <w:pPr>
              <w:jc w:val="center"/>
              <w:rPr>
                <w:rFonts w:ascii="Calibri" w:hAnsi="Calibri"/>
                <w:b/>
              </w:rPr>
            </w:pPr>
          </w:p>
        </w:tc>
      </w:tr>
      <w:tr w:rsidR="002171E1" w:rsidRPr="009A5D75" w14:paraId="37775B68"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49C1A8D2" w14:textId="77777777" w:rsidR="002171E1" w:rsidRPr="00C7102F" w:rsidRDefault="002171E1" w:rsidP="003733D3">
            <w:pPr>
              <w:rPr>
                <w:rFonts w:ascii="Calibri" w:hAnsi="Calibri" w:cs="Trebuchet MS"/>
                <w:b/>
              </w:rPr>
            </w:pPr>
            <w:r>
              <w:rPr>
                <w:rFonts w:ascii="Calibri" w:eastAsia="MS Gothic" w:hAnsi="Calibri" w:cs="Trebuchet MS"/>
                <w:b/>
                <w:bCs/>
                <w:szCs w:val="26"/>
              </w:rPr>
              <w:t>15</w:t>
            </w:r>
            <w:r w:rsidRPr="009A5D75">
              <w:rPr>
                <w:rFonts w:ascii="Calibri" w:eastAsia="MS Gothic" w:hAnsi="Calibri" w:cs="Trebuchet MS"/>
                <w:b/>
                <w:bCs/>
                <w:szCs w:val="26"/>
              </w:rPr>
              <w:t xml:space="preserve">. </w:t>
            </w:r>
            <w:r w:rsidRPr="00C7102F">
              <w:rPr>
                <w:rFonts w:ascii="Calibri" w:eastAsia="MS Gothic" w:hAnsi="Calibri" w:cs="Trebuchet MS"/>
                <w:b/>
                <w:bCs/>
              </w:rPr>
              <w:t xml:space="preserve">Partnership with K-12, career and technical education, adult education programs, and universities to align </w:t>
            </w:r>
          </w:p>
          <w:p w14:paraId="257669DD" w14:textId="77777777" w:rsidR="002171E1" w:rsidRPr="009A5D75" w:rsidRDefault="002171E1" w:rsidP="003733D3">
            <w:pPr>
              <w:rPr>
                <w:rFonts w:ascii="Calibri" w:eastAsia="MS Gothic" w:hAnsi="Calibri" w:cs="Trebuchet MS"/>
                <w:b/>
                <w:bCs/>
                <w:szCs w:val="26"/>
              </w:rPr>
            </w:pPr>
            <w:r w:rsidRPr="00C7102F">
              <w:rPr>
                <w:rFonts w:ascii="Calibri" w:hAnsi="Calibri" w:cs="Trebuchet MS"/>
                <w:b/>
              </w:rPr>
              <w:t>curriculum and course credit facilitating pathways for students</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4AC81A80" w14:textId="77777777" w:rsidR="002171E1" w:rsidRPr="003C51E4" w:rsidRDefault="002171E1" w:rsidP="002171E1">
            <w:pPr>
              <w:pStyle w:val="ColorfulList-Accent11"/>
              <w:numPr>
                <w:ilvl w:val="0"/>
                <w:numId w:val="13"/>
              </w:numPr>
              <w:ind w:left="342"/>
              <w:rPr>
                <w:rFonts w:ascii="Calibri" w:hAnsi="Calibri" w:cs="Trebuchet MS"/>
                <w:sz w:val="22"/>
                <w:szCs w:val="26"/>
              </w:rPr>
            </w:pPr>
            <w:r>
              <w:rPr>
                <w:rFonts w:ascii="Calibri" w:hAnsi="Calibri"/>
                <w:sz w:val="22"/>
                <w:szCs w:val="22"/>
              </w:rPr>
              <w:t>Education (</w:t>
            </w:r>
            <w:r w:rsidRPr="003C51E4">
              <w:rPr>
                <w:rFonts w:ascii="Calibri" w:hAnsi="Calibri"/>
                <w:sz w:val="22"/>
                <w:szCs w:val="22"/>
              </w:rPr>
              <w:t xml:space="preserve">K-12, community and technical colleges, universities, </w:t>
            </w:r>
            <w:r>
              <w:rPr>
                <w:rFonts w:ascii="Calibri" w:hAnsi="Calibri"/>
                <w:sz w:val="22"/>
                <w:szCs w:val="22"/>
              </w:rPr>
              <w:t>private training providers)</w:t>
            </w:r>
            <w:r w:rsidRPr="003C51E4">
              <w:rPr>
                <w:rFonts w:ascii="Calibri" w:hAnsi="Calibri"/>
                <w:sz w:val="22"/>
                <w:szCs w:val="22"/>
              </w:rPr>
              <w:t xml:space="preserve"> </w:t>
            </w:r>
            <w:r>
              <w:rPr>
                <w:rFonts w:ascii="Calibri" w:hAnsi="Calibri"/>
                <w:sz w:val="22"/>
                <w:szCs w:val="22"/>
              </w:rPr>
              <w:t>and workforce o</w:t>
            </w:r>
            <w:r w:rsidRPr="00A56847">
              <w:rPr>
                <w:rFonts w:ascii="Calibri" w:hAnsi="Calibri"/>
                <w:sz w:val="22"/>
                <w:szCs w:val="22"/>
              </w:rPr>
              <w:t>rganization</w:t>
            </w:r>
            <w:r>
              <w:rPr>
                <w:rFonts w:ascii="Calibri" w:hAnsi="Calibri"/>
                <w:sz w:val="22"/>
                <w:szCs w:val="22"/>
              </w:rPr>
              <w:t>s a</w:t>
            </w:r>
            <w:r w:rsidRPr="00A56847">
              <w:rPr>
                <w:rFonts w:ascii="Calibri" w:hAnsi="Calibri"/>
                <w:sz w:val="22"/>
                <w:szCs w:val="22"/>
              </w:rPr>
              <w:t>re actively working to form dynamic alliances in support of target sector customers.</w:t>
            </w:r>
          </w:p>
          <w:p w14:paraId="79AD8AD2" w14:textId="77777777" w:rsidR="002171E1" w:rsidRDefault="002171E1" w:rsidP="002171E1">
            <w:pPr>
              <w:pStyle w:val="ColorfulList-Accent11"/>
              <w:numPr>
                <w:ilvl w:val="0"/>
                <w:numId w:val="13"/>
              </w:numPr>
              <w:ind w:left="342"/>
              <w:rPr>
                <w:rFonts w:ascii="Calibri" w:hAnsi="Calibri" w:cs="Trebuchet MS"/>
                <w:sz w:val="22"/>
                <w:szCs w:val="26"/>
              </w:rPr>
            </w:pPr>
            <w:r w:rsidRPr="009A5D75">
              <w:rPr>
                <w:rFonts w:ascii="Calibri" w:hAnsi="Calibri" w:cs="Trebuchet MS"/>
                <w:sz w:val="22"/>
                <w:szCs w:val="26"/>
              </w:rPr>
              <w:t xml:space="preserve">Demonstrated working relationship (e.g. administrators/staff sit on boards, </w:t>
            </w:r>
            <w:r>
              <w:rPr>
                <w:rFonts w:ascii="Calibri" w:hAnsi="Calibri" w:cs="Trebuchet MS"/>
                <w:sz w:val="22"/>
                <w:szCs w:val="26"/>
              </w:rPr>
              <w:t xml:space="preserve">deeply </w:t>
            </w:r>
            <w:r w:rsidRPr="009A5D75">
              <w:rPr>
                <w:rFonts w:ascii="Calibri" w:hAnsi="Calibri" w:cs="Trebuchet MS"/>
                <w:sz w:val="22"/>
                <w:szCs w:val="26"/>
              </w:rPr>
              <w:t>engaged in joint workforce initiatives), no turf issues</w:t>
            </w:r>
          </w:p>
          <w:p w14:paraId="11B390D4" w14:textId="52C2C076" w:rsidR="002171E1" w:rsidRPr="008C764D" w:rsidRDefault="002171E1" w:rsidP="006367C2">
            <w:pPr>
              <w:pStyle w:val="ColorfulList-Accent11"/>
              <w:numPr>
                <w:ilvl w:val="0"/>
                <w:numId w:val="13"/>
              </w:numPr>
              <w:ind w:left="342"/>
              <w:rPr>
                <w:rFonts w:ascii="Calibri" w:hAnsi="Calibri" w:cs="Trebuchet MS"/>
                <w:sz w:val="22"/>
                <w:szCs w:val="26"/>
              </w:rPr>
            </w:pPr>
            <w:r w:rsidRPr="008C764D">
              <w:rPr>
                <w:rFonts w:ascii="Calibri" w:hAnsi="Calibri" w:cs="Trebuchet MS"/>
                <w:sz w:val="22"/>
                <w:szCs w:val="26"/>
              </w:rPr>
              <w:t xml:space="preserve">Ability to develop common scope in order to </w:t>
            </w:r>
            <w:r w:rsidRPr="008C764D">
              <w:rPr>
                <w:rFonts w:ascii="Calibri" w:eastAsia="MS Gothic" w:hAnsi="Calibri" w:cs="Trebuchet MS"/>
                <w:bCs/>
                <w:sz w:val="22"/>
                <w:szCs w:val="26"/>
              </w:rPr>
              <w:t>align and provide a bridge from secondary and pos</w:t>
            </w:r>
            <w:r w:rsidR="006367C2">
              <w:rPr>
                <w:rFonts w:ascii="Calibri" w:eastAsia="MS Gothic" w:hAnsi="Calibri" w:cs="Trebuchet MS"/>
                <w:bCs/>
                <w:sz w:val="22"/>
                <w:szCs w:val="26"/>
              </w:rPr>
              <w:t>t-s</w:t>
            </w:r>
            <w:r w:rsidRPr="008C764D">
              <w:rPr>
                <w:rFonts w:ascii="Calibri" w:eastAsia="MS Gothic" w:hAnsi="Calibri" w:cs="Trebuchet MS"/>
                <w:bCs/>
                <w:sz w:val="22"/>
                <w:szCs w:val="26"/>
              </w:rPr>
              <w:t xml:space="preserve">econdary education to </w:t>
            </w:r>
            <w:r>
              <w:rPr>
                <w:rFonts w:ascii="Calibri" w:eastAsia="MS Gothic" w:hAnsi="Calibri" w:cs="Trebuchet MS"/>
                <w:bCs/>
                <w:sz w:val="22"/>
                <w:szCs w:val="26"/>
              </w:rPr>
              <w:t xml:space="preserve">a career or to attain </w:t>
            </w:r>
            <w:r w:rsidRPr="008C764D">
              <w:rPr>
                <w:rFonts w:ascii="Calibri" w:eastAsia="MS Gothic" w:hAnsi="Calibri" w:cs="Trebuchet MS"/>
                <w:bCs/>
                <w:sz w:val="22"/>
                <w:szCs w:val="26"/>
              </w:rPr>
              <w:lastRenderedPageBreak/>
              <w:t>credentials required by the target industry sector</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30C7D648" w14:textId="77777777" w:rsidR="002171E1" w:rsidRPr="009A5D75" w:rsidRDefault="002171E1" w:rsidP="003733D3">
            <w:pPr>
              <w:jc w:val="center"/>
              <w:rPr>
                <w:rFonts w:ascii="Calibri" w:hAnsi="Calibri"/>
                <w:b/>
              </w:rPr>
            </w:pPr>
            <w:r w:rsidRPr="009A5D75">
              <w:rPr>
                <w:rFonts w:ascii="Calibri" w:hAnsi="Calibri"/>
                <w:b/>
              </w:rPr>
              <w:lastRenderedPageBreak/>
              <w:t>1          2          3          4          5</w:t>
            </w:r>
          </w:p>
          <w:p w14:paraId="705419AF" w14:textId="77777777" w:rsidR="002171E1" w:rsidRPr="009A5D75" w:rsidRDefault="002171E1" w:rsidP="003733D3">
            <w:pPr>
              <w:rPr>
                <w:rFonts w:ascii="Calibri" w:hAnsi="Calibri"/>
                <w:i/>
              </w:rPr>
            </w:pPr>
            <w:r w:rsidRPr="009A5D75">
              <w:rPr>
                <w:rFonts w:ascii="Calibri" w:hAnsi="Calibri"/>
                <w:i/>
              </w:rPr>
              <w:t>Describe rating briefly:</w:t>
            </w:r>
          </w:p>
          <w:p w14:paraId="656A3B71" w14:textId="77777777" w:rsidR="002171E1" w:rsidRPr="009A5D75" w:rsidRDefault="002171E1" w:rsidP="003733D3">
            <w:pPr>
              <w:rPr>
                <w:rFonts w:ascii="Calibri" w:hAnsi="Calibri"/>
                <w:b/>
              </w:rPr>
            </w:pPr>
          </w:p>
        </w:tc>
      </w:tr>
      <w:tr w:rsidR="002171E1" w:rsidRPr="009A5D75" w14:paraId="12EB5772"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auto"/>
          </w:tcPr>
          <w:p w14:paraId="78FA7A32" w14:textId="77777777" w:rsidR="002171E1" w:rsidRPr="009A5D75" w:rsidRDefault="002171E1" w:rsidP="003733D3">
            <w:pPr>
              <w:rPr>
                <w:rFonts w:ascii="Calibri" w:eastAsia="MS Gothic" w:hAnsi="Calibri" w:cs="Trebuchet MS"/>
                <w:b/>
                <w:bCs/>
                <w:szCs w:val="26"/>
              </w:rPr>
            </w:pPr>
            <w:r w:rsidRPr="009A5D75">
              <w:rPr>
                <w:rFonts w:ascii="Calibri" w:eastAsia="MS Gothic" w:hAnsi="Calibri" w:cs="Trebuchet MS"/>
                <w:b/>
                <w:bCs/>
                <w:szCs w:val="26"/>
              </w:rPr>
              <w:t>1</w:t>
            </w:r>
            <w:r>
              <w:rPr>
                <w:rFonts w:ascii="Calibri" w:eastAsia="MS Gothic" w:hAnsi="Calibri" w:cs="Trebuchet MS"/>
                <w:b/>
                <w:bCs/>
                <w:szCs w:val="26"/>
              </w:rPr>
              <w:t>6</w:t>
            </w:r>
            <w:r w:rsidRPr="009A5D75">
              <w:rPr>
                <w:rFonts w:ascii="Calibri" w:eastAsia="MS Gothic" w:hAnsi="Calibri" w:cs="Trebuchet MS"/>
                <w:b/>
                <w:bCs/>
                <w:szCs w:val="26"/>
              </w:rPr>
              <w:t xml:space="preserve">. Partnerships with regional, and/or local economic development organizations </w:t>
            </w:r>
          </w:p>
        </w:tc>
        <w:tc>
          <w:tcPr>
            <w:tcW w:w="5400" w:type="dxa"/>
            <w:tcBorders>
              <w:top w:val="single" w:sz="8" w:space="0" w:color="4F81BD"/>
              <w:left w:val="single" w:sz="8" w:space="0" w:color="4F81BD"/>
              <w:bottom w:val="single" w:sz="8" w:space="0" w:color="4F81BD"/>
              <w:right w:val="single" w:sz="8" w:space="0" w:color="4F81BD"/>
            </w:tcBorders>
          </w:tcPr>
          <w:p w14:paraId="3C2ED310" w14:textId="77777777" w:rsidR="002171E1" w:rsidRDefault="002171E1" w:rsidP="002171E1">
            <w:pPr>
              <w:pStyle w:val="ColorfulList-Accent11"/>
              <w:numPr>
                <w:ilvl w:val="0"/>
                <w:numId w:val="13"/>
              </w:numPr>
              <w:ind w:left="342"/>
              <w:rPr>
                <w:rFonts w:ascii="Calibri" w:hAnsi="Calibri" w:cs="Trebuchet MS"/>
                <w:sz w:val="22"/>
                <w:szCs w:val="26"/>
              </w:rPr>
            </w:pPr>
            <w:r w:rsidRPr="009A5D75">
              <w:rPr>
                <w:rFonts w:ascii="Calibri" w:hAnsi="Calibri" w:cs="Trebuchet MS"/>
                <w:sz w:val="22"/>
                <w:szCs w:val="26"/>
              </w:rPr>
              <w:t>Demonstrated working relationship (e.g. work regularly with local chamber of commerce</w:t>
            </w:r>
            <w:r>
              <w:rPr>
                <w:rFonts w:ascii="Calibri" w:hAnsi="Calibri" w:cs="Trebuchet MS"/>
                <w:sz w:val="22"/>
                <w:szCs w:val="26"/>
              </w:rPr>
              <w:t>, development agencies)</w:t>
            </w:r>
            <w:r w:rsidRPr="009A5D75">
              <w:rPr>
                <w:rFonts w:ascii="Calibri" w:hAnsi="Calibri" w:cs="Trebuchet MS"/>
                <w:sz w:val="22"/>
                <w:szCs w:val="26"/>
              </w:rPr>
              <w:t xml:space="preserve"> to jointly address regional </w:t>
            </w:r>
            <w:r>
              <w:rPr>
                <w:rFonts w:ascii="Calibri" w:hAnsi="Calibri" w:cs="Trebuchet MS"/>
                <w:sz w:val="22"/>
                <w:szCs w:val="26"/>
              </w:rPr>
              <w:t xml:space="preserve">growth strategies, including </w:t>
            </w:r>
            <w:r w:rsidRPr="009A5D75">
              <w:rPr>
                <w:rFonts w:ascii="Calibri" w:hAnsi="Calibri" w:cs="Trebuchet MS"/>
                <w:sz w:val="22"/>
                <w:szCs w:val="26"/>
              </w:rPr>
              <w:t>education and training issues)</w:t>
            </w:r>
          </w:p>
          <w:p w14:paraId="6B63F33D" w14:textId="77777777" w:rsidR="002171E1" w:rsidRPr="008C764D" w:rsidRDefault="002171E1" w:rsidP="002171E1">
            <w:pPr>
              <w:pStyle w:val="ColorfulList-Accent11"/>
              <w:numPr>
                <w:ilvl w:val="0"/>
                <w:numId w:val="13"/>
              </w:numPr>
              <w:ind w:left="342"/>
              <w:rPr>
                <w:rFonts w:ascii="Calibri" w:hAnsi="Calibri" w:cs="Trebuchet MS"/>
                <w:sz w:val="22"/>
                <w:szCs w:val="26"/>
              </w:rPr>
            </w:pPr>
            <w:r w:rsidRPr="008C764D">
              <w:rPr>
                <w:rFonts w:ascii="Calibri" w:hAnsi="Calibri" w:cs="Trebuchet MS"/>
                <w:sz w:val="22"/>
                <w:szCs w:val="26"/>
              </w:rPr>
              <w:t xml:space="preserve">Ability to develop common scope in order to serve industry and workers </w:t>
            </w:r>
          </w:p>
        </w:tc>
        <w:tc>
          <w:tcPr>
            <w:tcW w:w="4320" w:type="dxa"/>
            <w:tcBorders>
              <w:top w:val="single" w:sz="8" w:space="0" w:color="4F81BD"/>
              <w:left w:val="single" w:sz="8" w:space="0" w:color="4F81BD"/>
              <w:bottom w:val="single" w:sz="8" w:space="0" w:color="4F81BD"/>
              <w:right w:val="single" w:sz="8" w:space="0" w:color="4F81BD"/>
            </w:tcBorders>
            <w:shd w:val="clear" w:color="auto" w:fill="auto"/>
          </w:tcPr>
          <w:p w14:paraId="7477509C" w14:textId="77777777" w:rsidR="002171E1" w:rsidRPr="009A5D75" w:rsidRDefault="002171E1" w:rsidP="003733D3">
            <w:pPr>
              <w:jc w:val="center"/>
              <w:rPr>
                <w:rFonts w:ascii="Calibri" w:hAnsi="Calibri"/>
                <w:b/>
              </w:rPr>
            </w:pPr>
            <w:r w:rsidRPr="009A5D75">
              <w:rPr>
                <w:rFonts w:ascii="Calibri" w:hAnsi="Calibri"/>
                <w:b/>
              </w:rPr>
              <w:t>1          2          3          4          5</w:t>
            </w:r>
          </w:p>
          <w:p w14:paraId="151296BF" w14:textId="77777777" w:rsidR="002171E1" w:rsidRPr="009A5D75" w:rsidRDefault="002171E1" w:rsidP="003733D3">
            <w:pPr>
              <w:rPr>
                <w:rFonts w:ascii="Calibri" w:hAnsi="Calibri"/>
                <w:i/>
              </w:rPr>
            </w:pPr>
            <w:r w:rsidRPr="009A5D75">
              <w:rPr>
                <w:rFonts w:ascii="Calibri" w:hAnsi="Calibri"/>
                <w:i/>
              </w:rPr>
              <w:t>Describe rating briefly:</w:t>
            </w:r>
          </w:p>
          <w:p w14:paraId="052DD7AF" w14:textId="77777777" w:rsidR="002171E1" w:rsidRPr="009A5D75" w:rsidRDefault="002171E1" w:rsidP="003733D3">
            <w:pPr>
              <w:rPr>
                <w:rFonts w:ascii="Calibri" w:hAnsi="Calibri"/>
                <w:i/>
              </w:rPr>
            </w:pPr>
          </w:p>
          <w:p w14:paraId="4AB81430" w14:textId="77777777" w:rsidR="002171E1" w:rsidRPr="009A5D75" w:rsidRDefault="002171E1" w:rsidP="003733D3">
            <w:pPr>
              <w:rPr>
                <w:rFonts w:ascii="Calibri" w:hAnsi="Calibri"/>
                <w:b/>
              </w:rPr>
            </w:pPr>
          </w:p>
        </w:tc>
      </w:tr>
      <w:tr w:rsidR="002171E1" w:rsidRPr="009A5D75" w14:paraId="672E1FC7"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69867A5E"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t>17</w:t>
            </w:r>
            <w:r w:rsidRPr="009A5D75">
              <w:rPr>
                <w:rFonts w:ascii="Calibri" w:eastAsia="MS Gothic" w:hAnsi="Calibri" w:cs="Trebuchet MS"/>
                <w:b/>
                <w:bCs/>
                <w:szCs w:val="26"/>
              </w:rPr>
              <w:t>. Working relationships with community-based organizations to reach populations that are currently underrepresented in the key target sector(s), provide adequate support services</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67114CB3" w14:textId="77777777" w:rsidR="002171E1" w:rsidRDefault="002171E1" w:rsidP="002171E1">
            <w:pPr>
              <w:pStyle w:val="ColorfulList-Accent11"/>
              <w:numPr>
                <w:ilvl w:val="0"/>
                <w:numId w:val="13"/>
              </w:numPr>
              <w:ind w:left="432"/>
              <w:rPr>
                <w:rFonts w:ascii="Calibri" w:hAnsi="Calibri" w:cs="Trebuchet MS"/>
                <w:sz w:val="22"/>
                <w:szCs w:val="26"/>
              </w:rPr>
            </w:pPr>
            <w:r w:rsidRPr="009A5D75">
              <w:rPr>
                <w:rFonts w:ascii="Calibri" w:hAnsi="Calibri" w:cs="Trebuchet MS"/>
                <w:sz w:val="22"/>
                <w:szCs w:val="26"/>
              </w:rPr>
              <w:t>Demonstrated working relationships with CBOs in this regard; no turf issues</w:t>
            </w:r>
          </w:p>
          <w:p w14:paraId="1DB86617" w14:textId="77777777" w:rsidR="002171E1" w:rsidRPr="008C764D" w:rsidRDefault="002171E1" w:rsidP="002171E1">
            <w:pPr>
              <w:pStyle w:val="ColorfulList-Accent11"/>
              <w:numPr>
                <w:ilvl w:val="0"/>
                <w:numId w:val="13"/>
              </w:numPr>
              <w:ind w:left="432"/>
              <w:rPr>
                <w:rFonts w:ascii="Calibri" w:hAnsi="Calibri" w:cs="Trebuchet MS"/>
                <w:sz w:val="22"/>
                <w:szCs w:val="26"/>
              </w:rPr>
            </w:pPr>
            <w:r w:rsidRPr="008C764D">
              <w:rPr>
                <w:rFonts w:ascii="Calibri" w:hAnsi="Calibri" w:cs="Trebuchet MS"/>
                <w:sz w:val="22"/>
                <w:szCs w:val="26"/>
              </w:rPr>
              <w:t>Ability to develop common scope in order to serve industry and workers</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46314BE2" w14:textId="77777777" w:rsidR="002171E1" w:rsidRPr="009A5D75" w:rsidRDefault="002171E1" w:rsidP="003733D3">
            <w:pPr>
              <w:jc w:val="center"/>
              <w:rPr>
                <w:rFonts w:ascii="Calibri" w:hAnsi="Calibri"/>
                <w:b/>
              </w:rPr>
            </w:pPr>
            <w:r w:rsidRPr="009A5D75">
              <w:rPr>
                <w:rFonts w:ascii="Calibri" w:hAnsi="Calibri"/>
                <w:b/>
              </w:rPr>
              <w:t>1          2          3          4          5</w:t>
            </w:r>
          </w:p>
          <w:p w14:paraId="60F04703" w14:textId="77777777" w:rsidR="002171E1" w:rsidRPr="009A5D75" w:rsidRDefault="002171E1" w:rsidP="003733D3">
            <w:pPr>
              <w:rPr>
                <w:rFonts w:ascii="Calibri" w:hAnsi="Calibri"/>
                <w:i/>
              </w:rPr>
            </w:pPr>
            <w:r w:rsidRPr="009A5D75">
              <w:rPr>
                <w:rFonts w:ascii="Calibri" w:hAnsi="Calibri"/>
                <w:i/>
              </w:rPr>
              <w:t>Describe rating briefly:</w:t>
            </w:r>
          </w:p>
          <w:p w14:paraId="7CE137FF" w14:textId="77777777" w:rsidR="002171E1" w:rsidRPr="009A5D75" w:rsidRDefault="002171E1" w:rsidP="003733D3">
            <w:pPr>
              <w:rPr>
                <w:rFonts w:ascii="Calibri" w:hAnsi="Calibri"/>
                <w:b/>
              </w:rPr>
            </w:pPr>
          </w:p>
        </w:tc>
      </w:tr>
      <w:tr w:rsidR="002171E1" w:rsidRPr="009A5D75" w14:paraId="5AEE7FDD" w14:textId="77777777" w:rsidTr="003733D3">
        <w:tc>
          <w:tcPr>
            <w:tcW w:w="13500" w:type="dxa"/>
            <w:gridSpan w:val="3"/>
            <w:tcBorders>
              <w:top w:val="single" w:sz="8" w:space="0" w:color="4F81BD"/>
              <w:left w:val="single" w:sz="8" w:space="0" w:color="4F81BD"/>
              <w:bottom w:val="single" w:sz="8" w:space="0" w:color="4F81BD"/>
              <w:right w:val="single" w:sz="8" w:space="0" w:color="4F81BD"/>
            </w:tcBorders>
            <w:shd w:val="clear" w:color="auto" w:fill="000000" w:themeFill="text1"/>
          </w:tcPr>
          <w:p w14:paraId="6F861618" w14:textId="77777777" w:rsidR="002171E1" w:rsidRDefault="002171E1" w:rsidP="003733D3">
            <w:pPr>
              <w:rPr>
                <w:rFonts w:ascii="Calibri" w:hAnsi="Calibri"/>
                <w:b/>
              </w:rPr>
            </w:pPr>
            <w:r>
              <w:rPr>
                <w:rFonts w:ascii="Calibri" w:hAnsi="Calibri"/>
                <w:b/>
              </w:rPr>
              <w:t>SUSTAINABILITY &amp; CONTINUOUS IMPROVEMENT</w:t>
            </w:r>
          </w:p>
          <w:p w14:paraId="060A79C7" w14:textId="77777777" w:rsidR="002171E1" w:rsidRPr="009A5D75" w:rsidRDefault="002171E1" w:rsidP="003733D3">
            <w:pPr>
              <w:rPr>
                <w:rFonts w:ascii="Calibri" w:hAnsi="Calibri"/>
                <w:b/>
              </w:rPr>
            </w:pPr>
            <w:r>
              <w:rPr>
                <w:rFonts w:ascii="Calibri" w:hAnsi="Calibri"/>
                <w:i/>
              </w:rPr>
              <w:t>Is your organization able to measure sector partnership outcomes and use that information to drive future performance? Is there financial support to sustain the partnership?</w:t>
            </w:r>
          </w:p>
        </w:tc>
      </w:tr>
      <w:tr w:rsidR="002171E1" w:rsidRPr="009A5D75" w14:paraId="6B0E8F31"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FFFFFF"/>
          </w:tcPr>
          <w:p w14:paraId="0AAC2073" w14:textId="77777777" w:rsidR="002171E1" w:rsidRDefault="002171E1" w:rsidP="003733D3">
            <w:pPr>
              <w:rPr>
                <w:rFonts w:ascii="Calibri" w:eastAsia="MS Gothic" w:hAnsi="Calibri" w:cs="Trebuchet MS"/>
                <w:b/>
                <w:bCs/>
                <w:szCs w:val="26"/>
              </w:rPr>
            </w:pPr>
            <w:r>
              <w:rPr>
                <w:rFonts w:ascii="Calibri" w:eastAsia="MS Gothic" w:hAnsi="Calibri" w:cs="Trebuchet MS"/>
                <w:b/>
                <w:bCs/>
                <w:szCs w:val="26"/>
              </w:rPr>
              <w:t>18. Ability to “build the buzz” about the value of sector partnerships as a means to continuously secure stakeholder buy-in</w:t>
            </w:r>
          </w:p>
        </w:tc>
        <w:tc>
          <w:tcPr>
            <w:tcW w:w="5400" w:type="dxa"/>
            <w:tcBorders>
              <w:top w:val="single" w:sz="8" w:space="0" w:color="4F81BD"/>
              <w:left w:val="single" w:sz="8" w:space="0" w:color="4F81BD"/>
              <w:bottom w:val="single" w:sz="8" w:space="0" w:color="4F81BD"/>
              <w:right w:val="single" w:sz="8" w:space="0" w:color="4F81BD"/>
            </w:tcBorders>
            <w:shd w:val="clear" w:color="auto" w:fill="FFFFFF"/>
          </w:tcPr>
          <w:p w14:paraId="0865831E" w14:textId="77777777" w:rsidR="002171E1" w:rsidRDefault="002171E1" w:rsidP="002171E1">
            <w:pPr>
              <w:pStyle w:val="ColorfulList-Accent11"/>
              <w:numPr>
                <w:ilvl w:val="0"/>
                <w:numId w:val="13"/>
              </w:numPr>
              <w:ind w:left="432"/>
              <w:rPr>
                <w:rFonts w:ascii="Calibri" w:hAnsi="Calibri" w:cs="Trebuchet MS"/>
                <w:sz w:val="22"/>
                <w:szCs w:val="26"/>
              </w:rPr>
            </w:pPr>
            <w:r>
              <w:rPr>
                <w:rFonts w:ascii="Calibri" w:hAnsi="Calibri" w:cs="Trebuchet MS"/>
                <w:sz w:val="22"/>
                <w:szCs w:val="26"/>
              </w:rPr>
              <w:t>A connection with area media that can lead to stories on the sector partnership</w:t>
            </w:r>
          </w:p>
          <w:p w14:paraId="3963D73D" w14:textId="77777777" w:rsidR="002171E1" w:rsidRDefault="002171E1" w:rsidP="002171E1">
            <w:pPr>
              <w:pStyle w:val="ColorfulList-Accent11"/>
              <w:numPr>
                <w:ilvl w:val="0"/>
                <w:numId w:val="13"/>
              </w:numPr>
              <w:ind w:left="432"/>
              <w:rPr>
                <w:rFonts w:ascii="Calibri" w:hAnsi="Calibri" w:cs="Trebuchet MS"/>
                <w:sz w:val="22"/>
                <w:szCs w:val="26"/>
              </w:rPr>
            </w:pPr>
            <w:r>
              <w:rPr>
                <w:rFonts w:ascii="Calibri" w:hAnsi="Calibri" w:cs="Trebuchet MS"/>
                <w:sz w:val="22"/>
                <w:szCs w:val="26"/>
              </w:rPr>
              <w:t xml:space="preserve">Marketing brochures developed to explain sector partnerships </w:t>
            </w:r>
          </w:p>
          <w:p w14:paraId="4645019F" w14:textId="77777777" w:rsidR="002171E1" w:rsidRPr="008C764D" w:rsidRDefault="002171E1" w:rsidP="002171E1">
            <w:pPr>
              <w:pStyle w:val="ColorfulList-Accent11"/>
              <w:numPr>
                <w:ilvl w:val="0"/>
                <w:numId w:val="13"/>
              </w:numPr>
              <w:ind w:left="432"/>
              <w:rPr>
                <w:rFonts w:ascii="Calibri" w:hAnsi="Calibri" w:cs="Trebuchet MS"/>
                <w:sz w:val="22"/>
                <w:szCs w:val="26"/>
              </w:rPr>
            </w:pPr>
            <w:r w:rsidRPr="008C764D">
              <w:rPr>
                <w:rFonts w:ascii="Calibri" w:hAnsi="Calibri" w:cs="Trebuchet MS"/>
                <w:sz w:val="22"/>
                <w:szCs w:val="26"/>
              </w:rPr>
              <w:t xml:space="preserve">Agreement among </w:t>
            </w:r>
            <w:r>
              <w:rPr>
                <w:rFonts w:ascii="Calibri" w:hAnsi="Calibri" w:cs="Trebuchet MS"/>
                <w:sz w:val="22"/>
                <w:szCs w:val="26"/>
              </w:rPr>
              <w:t>sector partners</w:t>
            </w:r>
            <w:r w:rsidRPr="008C764D">
              <w:rPr>
                <w:rFonts w:ascii="Calibri" w:hAnsi="Calibri" w:cs="Trebuchet MS"/>
                <w:sz w:val="22"/>
                <w:szCs w:val="26"/>
              </w:rPr>
              <w:t xml:space="preserve"> to explain the concept to their boards of directors and customers.</w:t>
            </w:r>
          </w:p>
        </w:tc>
        <w:tc>
          <w:tcPr>
            <w:tcW w:w="4320" w:type="dxa"/>
            <w:tcBorders>
              <w:top w:val="single" w:sz="8" w:space="0" w:color="4F81BD"/>
              <w:left w:val="single" w:sz="8" w:space="0" w:color="4F81BD"/>
              <w:bottom w:val="single" w:sz="8" w:space="0" w:color="4F81BD"/>
              <w:right w:val="single" w:sz="8" w:space="0" w:color="4F81BD"/>
            </w:tcBorders>
            <w:shd w:val="clear" w:color="auto" w:fill="FFFFFF"/>
          </w:tcPr>
          <w:p w14:paraId="605C0F05" w14:textId="77777777" w:rsidR="002171E1" w:rsidRPr="009A5D75" w:rsidRDefault="002171E1" w:rsidP="003733D3">
            <w:pPr>
              <w:jc w:val="center"/>
              <w:rPr>
                <w:rFonts w:ascii="Calibri" w:hAnsi="Calibri"/>
                <w:b/>
              </w:rPr>
            </w:pPr>
            <w:r w:rsidRPr="009A5D75">
              <w:rPr>
                <w:rFonts w:ascii="Calibri" w:hAnsi="Calibri"/>
                <w:b/>
              </w:rPr>
              <w:t>1          2          3          4          5</w:t>
            </w:r>
          </w:p>
          <w:p w14:paraId="470CF956" w14:textId="77777777" w:rsidR="002171E1" w:rsidRPr="009A5D75" w:rsidRDefault="002171E1" w:rsidP="003733D3">
            <w:pPr>
              <w:rPr>
                <w:rFonts w:ascii="Calibri" w:hAnsi="Calibri"/>
                <w:i/>
              </w:rPr>
            </w:pPr>
            <w:r w:rsidRPr="009A5D75">
              <w:rPr>
                <w:rFonts w:ascii="Calibri" w:hAnsi="Calibri"/>
                <w:i/>
              </w:rPr>
              <w:t>Describe rating briefly:</w:t>
            </w:r>
          </w:p>
          <w:p w14:paraId="57C63C92" w14:textId="77777777" w:rsidR="002171E1" w:rsidRPr="009A5D75" w:rsidRDefault="002171E1" w:rsidP="003733D3">
            <w:pPr>
              <w:jc w:val="center"/>
              <w:rPr>
                <w:rFonts w:ascii="Calibri" w:hAnsi="Calibri"/>
                <w:b/>
              </w:rPr>
            </w:pPr>
          </w:p>
        </w:tc>
      </w:tr>
      <w:tr w:rsidR="002171E1" w:rsidRPr="009A5D75" w14:paraId="7FB4F599"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D3DFEE"/>
          </w:tcPr>
          <w:p w14:paraId="2898490F" w14:textId="77777777" w:rsidR="002171E1" w:rsidRDefault="002171E1" w:rsidP="003733D3">
            <w:pPr>
              <w:rPr>
                <w:rFonts w:ascii="Calibri" w:eastAsia="MS Gothic" w:hAnsi="Calibri" w:cs="Trebuchet MS"/>
                <w:b/>
                <w:bCs/>
                <w:szCs w:val="26"/>
              </w:rPr>
            </w:pPr>
            <w:r>
              <w:rPr>
                <w:rFonts w:ascii="Calibri" w:eastAsia="MS Gothic" w:hAnsi="Calibri" w:cs="Trebuchet MS"/>
                <w:b/>
                <w:bCs/>
                <w:szCs w:val="26"/>
              </w:rPr>
              <w:t>19. Sector partnership measures of success identified</w:t>
            </w:r>
            <w:r w:rsidRPr="009A5D75">
              <w:rPr>
                <w:rFonts w:ascii="Calibri" w:eastAsia="MS Gothic" w:hAnsi="Calibri" w:cs="Trebuchet MS"/>
                <w:b/>
                <w:bCs/>
                <w:szCs w:val="26"/>
              </w:rPr>
              <w:t>, define</w:t>
            </w:r>
            <w:r>
              <w:rPr>
                <w:rFonts w:ascii="Calibri" w:eastAsia="MS Gothic" w:hAnsi="Calibri" w:cs="Trebuchet MS"/>
                <w:b/>
                <w:bCs/>
                <w:szCs w:val="26"/>
              </w:rPr>
              <w:t>d</w:t>
            </w:r>
            <w:r w:rsidRPr="009A5D75">
              <w:rPr>
                <w:rFonts w:ascii="Calibri" w:eastAsia="MS Gothic" w:hAnsi="Calibri" w:cs="Trebuchet MS"/>
                <w:b/>
                <w:bCs/>
                <w:szCs w:val="26"/>
              </w:rPr>
              <w:t>, and track</w:t>
            </w:r>
            <w:r>
              <w:rPr>
                <w:rFonts w:ascii="Calibri" w:eastAsia="MS Gothic" w:hAnsi="Calibri" w:cs="Trebuchet MS"/>
                <w:b/>
                <w:bCs/>
                <w:szCs w:val="26"/>
              </w:rPr>
              <w:t>ed</w:t>
            </w:r>
            <w:r w:rsidRPr="009A5D75">
              <w:rPr>
                <w:rFonts w:ascii="Calibri" w:eastAsia="MS Gothic" w:hAnsi="Calibri" w:cs="Trebuchet MS"/>
                <w:b/>
                <w:bCs/>
                <w:szCs w:val="26"/>
              </w:rPr>
              <w:t>, with continuous improvement processes built in</w:t>
            </w:r>
          </w:p>
        </w:tc>
        <w:tc>
          <w:tcPr>
            <w:tcW w:w="5400" w:type="dxa"/>
            <w:tcBorders>
              <w:top w:val="single" w:sz="8" w:space="0" w:color="4F81BD"/>
              <w:left w:val="single" w:sz="8" w:space="0" w:color="4F81BD"/>
              <w:bottom w:val="single" w:sz="8" w:space="0" w:color="4F81BD"/>
              <w:right w:val="single" w:sz="8" w:space="0" w:color="4F81BD"/>
            </w:tcBorders>
            <w:shd w:val="clear" w:color="auto" w:fill="D3DFEE"/>
          </w:tcPr>
          <w:p w14:paraId="75377A78" w14:textId="77777777" w:rsidR="002171E1" w:rsidRDefault="002171E1" w:rsidP="002171E1">
            <w:pPr>
              <w:pStyle w:val="ColorfulList-Accent11"/>
              <w:numPr>
                <w:ilvl w:val="0"/>
                <w:numId w:val="13"/>
              </w:numPr>
              <w:ind w:left="432"/>
              <w:rPr>
                <w:rFonts w:ascii="Calibri" w:hAnsi="Calibri" w:cs="Trebuchet MS"/>
                <w:sz w:val="22"/>
                <w:szCs w:val="26"/>
              </w:rPr>
            </w:pPr>
            <w:r>
              <w:rPr>
                <w:rFonts w:ascii="Calibri" w:hAnsi="Calibri" w:cs="Trebuchet MS"/>
                <w:sz w:val="22"/>
                <w:szCs w:val="26"/>
              </w:rPr>
              <w:t>A</w:t>
            </w:r>
            <w:r w:rsidRPr="00EF0C5B">
              <w:rPr>
                <w:rFonts w:ascii="Calibri" w:hAnsi="Calibri" w:cs="Trebuchet MS"/>
                <w:sz w:val="22"/>
                <w:szCs w:val="26"/>
              </w:rPr>
              <w:t xml:space="preserve"> common </w:t>
            </w:r>
            <w:r>
              <w:rPr>
                <w:rFonts w:ascii="Calibri" w:hAnsi="Calibri" w:cs="Trebuchet MS"/>
                <w:sz w:val="22"/>
                <w:szCs w:val="26"/>
              </w:rPr>
              <w:t xml:space="preserve">agreed-upon </w:t>
            </w:r>
            <w:r w:rsidRPr="00EF0C5B">
              <w:rPr>
                <w:rFonts w:ascii="Calibri" w:hAnsi="Calibri" w:cs="Trebuchet MS"/>
                <w:sz w:val="22"/>
                <w:szCs w:val="26"/>
              </w:rPr>
              <w:t>d</w:t>
            </w:r>
            <w:r>
              <w:rPr>
                <w:rFonts w:ascii="Calibri" w:hAnsi="Calibri" w:cs="Trebuchet MS"/>
                <w:sz w:val="22"/>
                <w:szCs w:val="26"/>
              </w:rPr>
              <w:t>ashboard of success indicators (i.e. consensus around sector strategy “outcomes”)</w:t>
            </w:r>
          </w:p>
          <w:p w14:paraId="6C624C5F" w14:textId="77777777" w:rsidR="002171E1" w:rsidRDefault="002171E1" w:rsidP="002171E1">
            <w:pPr>
              <w:pStyle w:val="ColorfulList-Accent11"/>
              <w:numPr>
                <w:ilvl w:val="0"/>
                <w:numId w:val="13"/>
              </w:numPr>
              <w:ind w:left="432"/>
              <w:rPr>
                <w:rFonts w:ascii="Calibri" w:hAnsi="Calibri" w:cs="Trebuchet MS"/>
                <w:sz w:val="22"/>
                <w:szCs w:val="26"/>
              </w:rPr>
            </w:pPr>
            <w:r>
              <w:rPr>
                <w:rFonts w:ascii="Calibri" w:hAnsi="Calibri" w:cs="Trebuchet MS"/>
                <w:sz w:val="22"/>
                <w:szCs w:val="26"/>
              </w:rPr>
              <w:t xml:space="preserve">Organization’s board, executive committee, or program committee </w:t>
            </w:r>
            <w:r w:rsidRPr="00EF0C5B">
              <w:rPr>
                <w:rFonts w:ascii="Calibri" w:hAnsi="Calibri" w:cs="Trebuchet MS"/>
                <w:sz w:val="22"/>
                <w:szCs w:val="26"/>
              </w:rPr>
              <w:t xml:space="preserve">reviews </w:t>
            </w:r>
            <w:r>
              <w:rPr>
                <w:rFonts w:ascii="Calibri" w:hAnsi="Calibri" w:cs="Trebuchet MS"/>
                <w:sz w:val="22"/>
                <w:szCs w:val="26"/>
              </w:rPr>
              <w:t>sector p</w:t>
            </w:r>
            <w:r w:rsidRPr="00EF0C5B">
              <w:rPr>
                <w:rFonts w:ascii="Calibri" w:hAnsi="Calibri" w:cs="Trebuchet MS"/>
                <w:sz w:val="22"/>
                <w:szCs w:val="26"/>
              </w:rPr>
              <w:t>artnership metrics as part of their duties</w:t>
            </w:r>
          </w:p>
          <w:p w14:paraId="1218BF3E" w14:textId="77777777" w:rsidR="002171E1" w:rsidRPr="008C764D" w:rsidRDefault="002171E1" w:rsidP="002171E1">
            <w:pPr>
              <w:pStyle w:val="ColorfulList-Accent11"/>
              <w:numPr>
                <w:ilvl w:val="0"/>
                <w:numId w:val="13"/>
              </w:numPr>
              <w:ind w:left="432"/>
              <w:rPr>
                <w:rFonts w:ascii="Calibri" w:hAnsi="Calibri" w:cs="Trebuchet MS"/>
                <w:sz w:val="22"/>
                <w:szCs w:val="26"/>
              </w:rPr>
            </w:pPr>
            <w:r w:rsidRPr="008C764D">
              <w:rPr>
                <w:rFonts w:ascii="Calibri" w:hAnsi="Calibri" w:cs="Trebuchet MS"/>
                <w:sz w:val="22"/>
                <w:szCs w:val="26"/>
              </w:rPr>
              <w:t xml:space="preserve">Process in place for collecting, analyzing data and using the ROI metrics to make future partnership adjustments </w:t>
            </w:r>
          </w:p>
        </w:tc>
        <w:tc>
          <w:tcPr>
            <w:tcW w:w="4320" w:type="dxa"/>
            <w:tcBorders>
              <w:top w:val="single" w:sz="8" w:space="0" w:color="4F81BD"/>
              <w:left w:val="single" w:sz="8" w:space="0" w:color="4F81BD"/>
              <w:bottom w:val="single" w:sz="8" w:space="0" w:color="4F81BD"/>
              <w:right w:val="single" w:sz="8" w:space="0" w:color="4F81BD"/>
            </w:tcBorders>
            <w:shd w:val="clear" w:color="auto" w:fill="D3DFEE"/>
          </w:tcPr>
          <w:p w14:paraId="5A6D6232" w14:textId="77777777" w:rsidR="002171E1" w:rsidRPr="009A5D75" w:rsidRDefault="002171E1" w:rsidP="003733D3">
            <w:pPr>
              <w:jc w:val="center"/>
              <w:rPr>
                <w:rFonts w:ascii="Calibri" w:hAnsi="Calibri"/>
                <w:b/>
              </w:rPr>
            </w:pPr>
            <w:r w:rsidRPr="009A5D75">
              <w:rPr>
                <w:rFonts w:ascii="Calibri" w:hAnsi="Calibri"/>
                <w:b/>
              </w:rPr>
              <w:t>1          2          3          4          5</w:t>
            </w:r>
          </w:p>
          <w:p w14:paraId="59B95420" w14:textId="77777777" w:rsidR="002171E1" w:rsidRPr="009A5D75" w:rsidRDefault="002171E1" w:rsidP="003733D3">
            <w:pPr>
              <w:rPr>
                <w:rFonts w:ascii="Calibri" w:hAnsi="Calibri"/>
                <w:i/>
              </w:rPr>
            </w:pPr>
            <w:r w:rsidRPr="009A5D75">
              <w:rPr>
                <w:rFonts w:ascii="Calibri" w:hAnsi="Calibri"/>
                <w:i/>
              </w:rPr>
              <w:t>Describe rating briefly:</w:t>
            </w:r>
          </w:p>
          <w:p w14:paraId="35DD23D8" w14:textId="77777777" w:rsidR="002171E1" w:rsidRPr="009A5D75" w:rsidRDefault="002171E1" w:rsidP="003733D3">
            <w:pPr>
              <w:jc w:val="center"/>
              <w:rPr>
                <w:rFonts w:ascii="Calibri" w:hAnsi="Calibri"/>
                <w:b/>
              </w:rPr>
            </w:pPr>
          </w:p>
        </w:tc>
      </w:tr>
      <w:tr w:rsidR="002171E1" w:rsidRPr="009A5D75" w14:paraId="2E20630B" w14:textId="77777777" w:rsidTr="003733D3">
        <w:tc>
          <w:tcPr>
            <w:tcW w:w="3780" w:type="dxa"/>
            <w:tcBorders>
              <w:top w:val="single" w:sz="8" w:space="0" w:color="4F81BD"/>
              <w:left w:val="single" w:sz="8" w:space="0" w:color="4F81BD"/>
              <w:bottom w:val="single" w:sz="8" w:space="0" w:color="4F81BD"/>
              <w:right w:val="single" w:sz="8" w:space="0" w:color="4F81BD"/>
            </w:tcBorders>
            <w:shd w:val="clear" w:color="auto" w:fill="FFFFFF"/>
          </w:tcPr>
          <w:p w14:paraId="5C3EF082" w14:textId="77777777" w:rsidR="002171E1" w:rsidRPr="009A5D75" w:rsidRDefault="002171E1" w:rsidP="003733D3">
            <w:pPr>
              <w:rPr>
                <w:rFonts w:ascii="Calibri" w:eastAsia="MS Gothic" w:hAnsi="Calibri" w:cs="Trebuchet MS"/>
                <w:b/>
                <w:bCs/>
                <w:szCs w:val="26"/>
              </w:rPr>
            </w:pPr>
            <w:r>
              <w:rPr>
                <w:rFonts w:ascii="Calibri" w:eastAsia="MS Gothic" w:hAnsi="Calibri" w:cs="Trebuchet MS"/>
                <w:b/>
                <w:bCs/>
                <w:szCs w:val="26"/>
              </w:rPr>
              <w:lastRenderedPageBreak/>
              <w:t>20</w:t>
            </w:r>
            <w:r w:rsidRPr="009A5D75">
              <w:rPr>
                <w:rFonts w:ascii="Calibri" w:eastAsia="MS Gothic" w:hAnsi="Calibri" w:cs="Trebuchet MS"/>
                <w:b/>
                <w:bCs/>
                <w:szCs w:val="26"/>
              </w:rPr>
              <w:t xml:space="preserve">. </w:t>
            </w:r>
            <w:r>
              <w:rPr>
                <w:rFonts w:ascii="Calibri" w:eastAsia="MS Gothic" w:hAnsi="Calibri" w:cs="Trebuchet MS"/>
                <w:b/>
                <w:bCs/>
                <w:szCs w:val="26"/>
              </w:rPr>
              <w:t>O</w:t>
            </w:r>
            <w:r w:rsidRPr="009A5D75">
              <w:rPr>
                <w:rFonts w:ascii="Calibri" w:eastAsia="MS Gothic" w:hAnsi="Calibri" w:cs="Trebuchet MS"/>
                <w:b/>
                <w:bCs/>
                <w:szCs w:val="26"/>
              </w:rPr>
              <w:t xml:space="preserve">ngoing financial support to </w:t>
            </w:r>
            <w:r>
              <w:rPr>
                <w:rFonts w:ascii="Calibri" w:eastAsia="MS Gothic" w:hAnsi="Calibri" w:cs="Trebuchet MS"/>
                <w:b/>
                <w:bCs/>
                <w:szCs w:val="26"/>
              </w:rPr>
              <w:t>establish and expand sector partnerships</w:t>
            </w:r>
          </w:p>
        </w:tc>
        <w:tc>
          <w:tcPr>
            <w:tcW w:w="5400" w:type="dxa"/>
            <w:tcBorders>
              <w:top w:val="single" w:sz="8" w:space="0" w:color="4F81BD"/>
              <w:left w:val="single" w:sz="8" w:space="0" w:color="4F81BD"/>
              <w:bottom w:val="single" w:sz="8" w:space="0" w:color="4F81BD"/>
              <w:right w:val="single" w:sz="8" w:space="0" w:color="4F81BD"/>
            </w:tcBorders>
            <w:shd w:val="clear" w:color="auto" w:fill="FFFFFF"/>
          </w:tcPr>
          <w:p w14:paraId="759D83DD" w14:textId="77777777" w:rsidR="002171E1" w:rsidRDefault="002171E1" w:rsidP="002171E1">
            <w:pPr>
              <w:pStyle w:val="ColorfulList-Accent11"/>
              <w:numPr>
                <w:ilvl w:val="0"/>
                <w:numId w:val="13"/>
              </w:numPr>
              <w:ind w:left="432"/>
              <w:rPr>
                <w:rFonts w:ascii="Calibri" w:hAnsi="Calibri" w:cs="Trebuchet MS"/>
                <w:sz w:val="22"/>
                <w:szCs w:val="26"/>
              </w:rPr>
            </w:pPr>
            <w:r w:rsidRPr="005C0D89">
              <w:rPr>
                <w:rFonts w:ascii="Calibri" w:hAnsi="Calibri" w:cs="Trebuchet MS"/>
                <w:sz w:val="22"/>
                <w:szCs w:val="26"/>
              </w:rPr>
              <w:t>Understanding of existing and new funding sources</w:t>
            </w:r>
            <w:r>
              <w:rPr>
                <w:rFonts w:ascii="Calibri" w:hAnsi="Calibri" w:cs="Trebuchet MS"/>
                <w:sz w:val="22"/>
                <w:szCs w:val="26"/>
              </w:rPr>
              <w:t xml:space="preserve"> (e.g. </w:t>
            </w:r>
            <w:r w:rsidRPr="005C0D89">
              <w:rPr>
                <w:rFonts w:ascii="Calibri" w:hAnsi="Calibri" w:cs="Trebuchet MS"/>
                <w:sz w:val="22"/>
                <w:szCs w:val="26"/>
              </w:rPr>
              <w:t>grants, foundation support, and/or partner-organization budget allocations</w:t>
            </w:r>
            <w:r>
              <w:rPr>
                <w:rFonts w:ascii="Calibri" w:hAnsi="Calibri" w:cs="Trebuchet MS"/>
                <w:sz w:val="22"/>
                <w:szCs w:val="26"/>
              </w:rPr>
              <w:t>)</w:t>
            </w:r>
          </w:p>
          <w:p w14:paraId="36D8B0EB" w14:textId="77777777" w:rsidR="002171E1" w:rsidRPr="008C764D" w:rsidRDefault="002171E1" w:rsidP="002171E1">
            <w:pPr>
              <w:pStyle w:val="ColorfulList-Accent11"/>
              <w:numPr>
                <w:ilvl w:val="0"/>
                <w:numId w:val="13"/>
              </w:numPr>
              <w:ind w:left="432"/>
              <w:rPr>
                <w:rFonts w:ascii="Calibri" w:hAnsi="Calibri" w:cs="Trebuchet MS"/>
                <w:sz w:val="22"/>
                <w:szCs w:val="26"/>
              </w:rPr>
            </w:pPr>
            <w:r w:rsidRPr="008C764D">
              <w:rPr>
                <w:rFonts w:ascii="Calibri" w:hAnsi="Calibri" w:cs="Trebuchet MS"/>
                <w:sz w:val="22"/>
                <w:szCs w:val="26"/>
              </w:rPr>
              <w:t>Willingness to be innovative in finding resources to support the sector partnerships (e.g. identify aspects of the new WIOA that could fund partnerships, submit grant proposals, etc.)</w:t>
            </w:r>
          </w:p>
        </w:tc>
        <w:tc>
          <w:tcPr>
            <w:tcW w:w="4320" w:type="dxa"/>
            <w:tcBorders>
              <w:top w:val="single" w:sz="8" w:space="0" w:color="4F81BD"/>
              <w:left w:val="single" w:sz="8" w:space="0" w:color="4F81BD"/>
              <w:bottom w:val="single" w:sz="8" w:space="0" w:color="4F81BD"/>
              <w:right w:val="single" w:sz="8" w:space="0" w:color="4F81BD"/>
            </w:tcBorders>
            <w:shd w:val="clear" w:color="auto" w:fill="FFFFFF"/>
          </w:tcPr>
          <w:p w14:paraId="3207F61F" w14:textId="77777777" w:rsidR="002171E1" w:rsidRPr="009A5D75" w:rsidRDefault="002171E1" w:rsidP="003733D3">
            <w:pPr>
              <w:jc w:val="center"/>
              <w:rPr>
                <w:rFonts w:ascii="Calibri" w:hAnsi="Calibri"/>
                <w:b/>
              </w:rPr>
            </w:pPr>
            <w:r w:rsidRPr="009A5D75">
              <w:rPr>
                <w:rFonts w:ascii="Calibri" w:hAnsi="Calibri"/>
                <w:b/>
              </w:rPr>
              <w:t>1          2          3          4          5</w:t>
            </w:r>
          </w:p>
          <w:p w14:paraId="3B972674" w14:textId="77777777" w:rsidR="002171E1" w:rsidRPr="009A5D75" w:rsidRDefault="002171E1" w:rsidP="003733D3">
            <w:pPr>
              <w:rPr>
                <w:rFonts w:ascii="Calibri" w:hAnsi="Calibri"/>
                <w:i/>
              </w:rPr>
            </w:pPr>
            <w:r w:rsidRPr="009A5D75">
              <w:rPr>
                <w:rFonts w:ascii="Calibri" w:hAnsi="Calibri"/>
                <w:i/>
              </w:rPr>
              <w:t>Describe rating briefly:</w:t>
            </w:r>
          </w:p>
          <w:p w14:paraId="30AB13B9" w14:textId="77777777" w:rsidR="002171E1" w:rsidRPr="009A5D75" w:rsidRDefault="002171E1" w:rsidP="003733D3">
            <w:pPr>
              <w:rPr>
                <w:rFonts w:ascii="Calibri" w:hAnsi="Calibri"/>
                <w:b/>
              </w:rPr>
            </w:pPr>
          </w:p>
        </w:tc>
      </w:tr>
    </w:tbl>
    <w:p w14:paraId="2B8477BC" w14:textId="77777777" w:rsidR="002171E1" w:rsidRDefault="002171E1" w:rsidP="002171E1"/>
    <w:p w14:paraId="03909BDC" w14:textId="77777777" w:rsidR="002C5C7B" w:rsidRDefault="002C5C7B" w:rsidP="0021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2C5C7B" w:rsidSect="006367C2">
      <w:headerReference w:type="default" r:id="rId7"/>
      <w:footerReference w:type="default" r:id="rId8"/>
      <w:pgSz w:w="15840" w:h="12240" w:orient="landscape"/>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C8D16" w14:textId="77777777" w:rsidR="006367C2" w:rsidRDefault="006367C2" w:rsidP="006367C2">
      <w:r>
        <w:separator/>
      </w:r>
    </w:p>
  </w:endnote>
  <w:endnote w:type="continuationSeparator" w:id="0">
    <w:p w14:paraId="580E5213" w14:textId="77777777" w:rsidR="006367C2" w:rsidRDefault="006367C2" w:rsidP="0063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19268"/>
      <w:docPartObj>
        <w:docPartGallery w:val="Page Numbers (Bottom of Page)"/>
        <w:docPartUnique/>
      </w:docPartObj>
    </w:sdtPr>
    <w:sdtEndPr>
      <w:rPr>
        <w:noProof/>
      </w:rPr>
    </w:sdtEndPr>
    <w:sdtContent>
      <w:p w14:paraId="0ACE0E13" w14:textId="4C3819F4" w:rsidR="006367C2" w:rsidRDefault="00636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2E4E1" w14:textId="77777777" w:rsidR="006367C2" w:rsidRDefault="00636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9F3A" w14:textId="77777777" w:rsidR="006367C2" w:rsidRDefault="006367C2" w:rsidP="006367C2">
      <w:r>
        <w:separator/>
      </w:r>
    </w:p>
  </w:footnote>
  <w:footnote w:type="continuationSeparator" w:id="0">
    <w:p w14:paraId="0D1AA2B4" w14:textId="77777777" w:rsidR="006367C2" w:rsidRDefault="006367C2" w:rsidP="0063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86CE" w14:textId="4998B0E7" w:rsidR="00385A4F" w:rsidRDefault="00385A4F" w:rsidP="00385A4F">
    <w:pPr>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2A24">
      <w:rPr>
        <w:rFonts w:ascii="Calibri" w:hAnsi="Calibri" w:cs="Arial"/>
        <w:b/>
        <w:bCs/>
        <w:color w:val="262626"/>
        <w:sz w:val="28"/>
        <w:szCs w:val="28"/>
      </w:rPr>
      <w:t xml:space="preserve">Sector Strategies </w:t>
    </w:r>
    <w:r>
      <w:rPr>
        <w:rFonts w:ascii="Calibri" w:hAnsi="Calibri" w:cs="Arial"/>
        <w:b/>
        <w:bCs/>
        <w:color w:val="262626"/>
        <w:sz w:val="28"/>
        <w:szCs w:val="28"/>
      </w:rPr>
      <w:t xml:space="preserve">Organizational </w:t>
    </w:r>
    <w:r w:rsidRPr="005A2A24">
      <w:rPr>
        <w:rFonts w:ascii="Calibri" w:hAnsi="Calibri" w:cs="Arial"/>
        <w:b/>
        <w:bCs/>
        <w:color w:val="262626"/>
        <w:sz w:val="28"/>
        <w:szCs w:val="28"/>
      </w:rPr>
      <w:t>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562"/>
    <w:multiLevelType w:val="hybridMultilevel"/>
    <w:tmpl w:val="0D5C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31F5"/>
    <w:multiLevelType w:val="hybridMultilevel"/>
    <w:tmpl w:val="7B3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73A3"/>
    <w:multiLevelType w:val="hybridMultilevel"/>
    <w:tmpl w:val="135E5084"/>
    <w:lvl w:ilvl="0" w:tplc="4CF82BB0">
      <w:start w:val="1"/>
      <w:numFmt w:val="bullet"/>
      <w:lvlText w:val="•"/>
      <w:lvlJc w:val="left"/>
      <w:pPr>
        <w:tabs>
          <w:tab w:val="num" w:pos="720"/>
        </w:tabs>
        <w:ind w:left="720" w:hanging="360"/>
      </w:pPr>
      <w:rPr>
        <w:rFonts w:ascii="Arial" w:hAnsi="Arial" w:hint="default"/>
      </w:rPr>
    </w:lvl>
    <w:lvl w:ilvl="1" w:tplc="6CFA24AE" w:tentative="1">
      <w:start w:val="1"/>
      <w:numFmt w:val="bullet"/>
      <w:lvlText w:val="•"/>
      <w:lvlJc w:val="left"/>
      <w:pPr>
        <w:tabs>
          <w:tab w:val="num" w:pos="1440"/>
        </w:tabs>
        <w:ind w:left="1440" w:hanging="360"/>
      </w:pPr>
      <w:rPr>
        <w:rFonts w:ascii="Arial" w:hAnsi="Arial" w:hint="default"/>
      </w:rPr>
    </w:lvl>
    <w:lvl w:ilvl="2" w:tplc="84FAF3F4" w:tentative="1">
      <w:start w:val="1"/>
      <w:numFmt w:val="bullet"/>
      <w:lvlText w:val="•"/>
      <w:lvlJc w:val="left"/>
      <w:pPr>
        <w:tabs>
          <w:tab w:val="num" w:pos="2160"/>
        </w:tabs>
        <w:ind w:left="2160" w:hanging="360"/>
      </w:pPr>
      <w:rPr>
        <w:rFonts w:ascii="Arial" w:hAnsi="Arial" w:hint="default"/>
      </w:rPr>
    </w:lvl>
    <w:lvl w:ilvl="3" w:tplc="59D26510" w:tentative="1">
      <w:start w:val="1"/>
      <w:numFmt w:val="bullet"/>
      <w:lvlText w:val="•"/>
      <w:lvlJc w:val="left"/>
      <w:pPr>
        <w:tabs>
          <w:tab w:val="num" w:pos="2880"/>
        </w:tabs>
        <w:ind w:left="2880" w:hanging="360"/>
      </w:pPr>
      <w:rPr>
        <w:rFonts w:ascii="Arial" w:hAnsi="Arial" w:hint="default"/>
      </w:rPr>
    </w:lvl>
    <w:lvl w:ilvl="4" w:tplc="76F89FE0" w:tentative="1">
      <w:start w:val="1"/>
      <w:numFmt w:val="bullet"/>
      <w:lvlText w:val="•"/>
      <w:lvlJc w:val="left"/>
      <w:pPr>
        <w:tabs>
          <w:tab w:val="num" w:pos="3600"/>
        </w:tabs>
        <w:ind w:left="3600" w:hanging="360"/>
      </w:pPr>
      <w:rPr>
        <w:rFonts w:ascii="Arial" w:hAnsi="Arial" w:hint="default"/>
      </w:rPr>
    </w:lvl>
    <w:lvl w:ilvl="5" w:tplc="D7C67072" w:tentative="1">
      <w:start w:val="1"/>
      <w:numFmt w:val="bullet"/>
      <w:lvlText w:val="•"/>
      <w:lvlJc w:val="left"/>
      <w:pPr>
        <w:tabs>
          <w:tab w:val="num" w:pos="4320"/>
        </w:tabs>
        <w:ind w:left="4320" w:hanging="360"/>
      </w:pPr>
      <w:rPr>
        <w:rFonts w:ascii="Arial" w:hAnsi="Arial" w:hint="default"/>
      </w:rPr>
    </w:lvl>
    <w:lvl w:ilvl="6" w:tplc="667285EC" w:tentative="1">
      <w:start w:val="1"/>
      <w:numFmt w:val="bullet"/>
      <w:lvlText w:val="•"/>
      <w:lvlJc w:val="left"/>
      <w:pPr>
        <w:tabs>
          <w:tab w:val="num" w:pos="5040"/>
        </w:tabs>
        <w:ind w:left="5040" w:hanging="360"/>
      </w:pPr>
      <w:rPr>
        <w:rFonts w:ascii="Arial" w:hAnsi="Arial" w:hint="default"/>
      </w:rPr>
    </w:lvl>
    <w:lvl w:ilvl="7" w:tplc="2B1A0EEA" w:tentative="1">
      <w:start w:val="1"/>
      <w:numFmt w:val="bullet"/>
      <w:lvlText w:val="•"/>
      <w:lvlJc w:val="left"/>
      <w:pPr>
        <w:tabs>
          <w:tab w:val="num" w:pos="5760"/>
        </w:tabs>
        <w:ind w:left="5760" w:hanging="360"/>
      </w:pPr>
      <w:rPr>
        <w:rFonts w:ascii="Arial" w:hAnsi="Arial" w:hint="default"/>
      </w:rPr>
    </w:lvl>
    <w:lvl w:ilvl="8" w:tplc="9F5067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ED7516"/>
    <w:multiLevelType w:val="hybridMultilevel"/>
    <w:tmpl w:val="6136B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40102"/>
    <w:multiLevelType w:val="hybridMultilevel"/>
    <w:tmpl w:val="3718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F0B"/>
    <w:multiLevelType w:val="hybridMultilevel"/>
    <w:tmpl w:val="849CD21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1DBF5C18"/>
    <w:multiLevelType w:val="hybridMultilevel"/>
    <w:tmpl w:val="D83AD346"/>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7" w15:restartNumberingAfterBreak="0">
    <w:nsid w:val="1E903A86"/>
    <w:multiLevelType w:val="hybridMultilevel"/>
    <w:tmpl w:val="D5D02B84"/>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8" w15:restartNumberingAfterBreak="0">
    <w:nsid w:val="22217F3B"/>
    <w:multiLevelType w:val="hybridMultilevel"/>
    <w:tmpl w:val="50FE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271B1"/>
    <w:multiLevelType w:val="hybridMultilevel"/>
    <w:tmpl w:val="D6C6EFF8"/>
    <w:lvl w:ilvl="0" w:tplc="C408FAAA">
      <w:start w:val="1"/>
      <w:numFmt w:val="bullet"/>
      <w:lvlText w:val="•"/>
      <w:lvlJc w:val="left"/>
      <w:pPr>
        <w:tabs>
          <w:tab w:val="num" w:pos="720"/>
        </w:tabs>
        <w:ind w:left="720" w:hanging="360"/>
      </w:pPr>
      <w:rPr>
        <w:rFonts w:ascii="Arial" w:hAnsi="Arial" w:hint="default"/>
      </w:rPr>
    </w:lvl>
    <w:lvl w:ilvl="1" w:tplc="D0CEE686" w:tentative="1">
      <w:start w:val="1"/>
      <w:numFmt w:val="bullet"/>
      <w:lvlText w:val="•"/>
      <w:lvlJc w:val="left"/>
      <w:pPr>
        <w:tabs>
          <w:tab w:val="num" w:pos="1440"/>
        </w:tabs>
        <w:ind w:left="1440" w:hanging="360"/>
      </w:pPr>
      <w:rPr>
        <w:rFonts w:ascii="Arial" w:hAnsi="Arial" w:hint="default"/>
      </w:rPr>
    </w:lvl>
    <w:lvl w:ilvl="2" w:tplc="6526D07C" w:tentative="1">
      <w:start w:val="1"/>
      <w:numFmt w:val="bullet"/>
      <w:lvlText w:val="•"/>
      <w:lvlJc w:val="left"/>
      <w:pPr>
        <w:tabs>
          <w:tab w:val="num" w:pos="2160"/>
        </w:tabs>
        <w:ind w:left="2160" w:hanging="360"/>
      </w:pPr>
      <w:rPr>
        <w:rFonts w:ascii="Arial" w:hAnsi="Arial" w:hint="default"/>
      </w:rPr>
    </w:lvl>
    <w:lvl w:ilvl="3" w:tplc="AA2E57E2" w:tentative="1">
      <w:start w:val="1"/>
      <w:numFmt w:val="bullet"/>
      <w:lvlText w:val="•"/>
      <w:lvlJc w:val="left"/>
      <w:pPr>
        <w:tabs>
          <w:tab w:val="num" w:pos="2880"/>
        </w:tabs>
        <w:ind w:left="2880" w:hanging="360"/>
      </w:pPr>
      <w:rPr>
        <w:rFonts w:ascii="Arial" w:hAnsi="Arial" w:hint="default"/>
      </w:rPr>
    </w:lvl>
    <w:lvl w:ilvl="4" w:tplc="EC9E2F80" w:tentative="1">
      <w:start w:val="1"/>
      <w:numFmt w:val="bullet"/>
      <w:lvlText w:val="•"/>
      <w:lvlJc w:val="left"/>
      <w:pPr>
        <w:tabs>
          <w:tab w:val="num" w:pos="3600"/>
        </w:tabs>
        <w:ind w:left="3600" w:hanging="360"/>
      </w:pPr>
      <w:rPr>
        <w:rFonts w:ascii="Arial" w:hAnsi="Arial" w:hint="default"/>
      </w:rPr>
    </w:lvl>
    <w:lvl w:ilvl="5" w:tplc="86E4466E" w:tentative="1">
      <w:start w:val="1"/>
      <w:numFmt w:val="bullet"/>
      <w:lvlText w:val="•"/>
      <w:lvlJc w:val="left"/>
      <w:pPr>
        <w:tabs>
          <w:tab w:val="num" w:pos="4320"/>
        </w:tabs>
        <w:ind w:left="4320" w:hanging="360"/>
      </w:pPr>
      <w:rPr>
        <w:rFonts w:ascii="Arial" w:hAnsi="Arial" w:hint="default"/>
      </w:rPr>
    </w:lvl>
    <w:lvl w:ilvl="6" w:tplc="73CAACA0" w:tentative="1">
      <w:start w:val="1"/>
      <w:numFmt w:val="bullet"/>
      <w:lvlText w:val="•"/>
      <w:lvlJc w:val="left"/>
      <w:pPr>
        <w:tabs>
          <w:tab w:val="num" w:pos="5040"/>
        </w:tabs>
        <w:ind w:left="5040" w:hanging="360"/>
      </w:pPr>
      <w:rPr>
        <w:rFonts w:ascii="Arial" w:hAnsi="Arial" w:hint="default"/>
      </w:rPr>
    </w:lvl>
    <w:lvl w:ilvl="7" w:tplc="F7A88AF6" w:tentative="1">
      <w:start w:val="1"/>
      <w:numFmt w:val="bullet"/>
      <w:lvlText w:val="•"/>
      <w:lvlJc w:val="left"/>
      <w:pPr>
        <w:tabs>
          <w:tab w:val="num" w:pos="5760"/>
        </w:tabs>
        <w:ind w:left="5760" w:hanging="360"/>
      </w:pPr>
      <w:rPr>
        <w:rFonts w:ascii="Arial" w:hAnsi="Arial" w:hint="default"/>
      </w:rPr>
    </w:lvl>
    <w:lvl w:ilvl="8" w:tplc="69A09E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F06A53"/>
    <w:multiLevelType w:val="hybridMultilevel"/>
    <w:tmpl w:val="6C9AC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E4A2C"/>
    <w:multiLevelType w:val="hybridMultilevel"/>
    <w:tmpl w:val="8E28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C5237"/>
    <w:multiLevelType w:val="hybridMultilevel"/>
    <w:tmpl w:val="A09CF19E"/>
    <w:lvl w:ilvl="0" w:tplc="BD783F2A">
      <w:start w:val="1"/>
      <w:numFmt w:val="bullet"/>
      <w:lvlText w:val="•"/>
      <w:lvlJc w:val="left"/>
      <w:pPr>
        <w:tabs>
          <w:tab w:val="num" w:pos="720"/>
        </w:tabs>
        <w:ind w:left="720" w:hanging="360"/>
      </w:pPr>
      <w:rPr>
        <w:rFonts w:ascii="Arial" w:hAnsi="Arial" w:hint="default"/>
      </w:rPr>
    </w:lvl>
    <w:lvl w:ilvl="1" w:tplc="922A00F0" w:tentative="1">
      <w:start w:val="1"/>
      <w:numFmt w:val="bullet"/>
      <w:lvlText w:val="•"/>
      <w:lvlJc w:val="left"/>
      <w:pPr>
        <w:tabs>
          <w:tab w:val="num" w:pos="1440"/>
        </w:tabs>
        <w:ind w:left="1440" w:hanging="360"/>
      </w:pPr>
      <w:rPr>
        <w:rFonts w:ascii="Arial" w:hAnsi="Arial" w:hint="default"/>
      </w:rPr>
    </w:lvl>
    <w:lvl w:ilvl="2" w:tplc="46C8DAE2" w:tentative="1">
      <w:start w:val="1"/>
      <w:numFmt w:val="bullet"/>
      <w:lvlText w:val="•"/>
      <w:lvlJc w:val="left"/>
      <w:pPr>
        <w:tabs>
          <w:tab w:val="num" w:pos="2160"/>
        </w:tabs>
        <w:ind w:left="2160" w:hanging="360"/>
      </w:pPr>
      <w:rPr>
        <w:rFonts w:ascii="Arial" w:hAnsi="Arial" w:hint="default"/>
      </w:rPr>
    </w:lvl>
    <w:lvl w:ilvl="3" w:tplc="8C980FC0" w:tentative="1">
      <w:start w:val="1"/>
      <w:numFmt w:val="bullet"/>
      <w:lvlText w:val="•"/>
      <w:lvlJc w:val="left"/>
      <w:pPr>
        <w:tabs>
          <w:tab w:val="num" w:pos="2880"/>
        </w:tabs>
        <w:ind w:left="2880" w:hanging="360"/>
      </w:pPr>
      <w:rPr>
        <w:rFonts w:ascii="Arial" w:hAnsi="Arial" w:hint="default"/>
      </w:rPr>
    </w:lvl>
    <w:lvl w:ilvl="4" w:tplc="B0B0DC24" w:tentative="1">
      <w:start w:val="1"/>
      <w:numFmt w:val="bullet"/>
      <w:lvlText w:val="•"/>
      <w:lvlJc w:val="left"/>
      <w:pPr>
        <w:tabs>
          <w:tab w:val="num" w:pos="3600"/>
        </w:tabs>
        <w:ind w:left="3600" w:hanging="360"/>
      </w:pPr>
      <w:rPr>
        <w:rFonts w:ascii="Arial" w:hAnsi="Arial" w:hint="default"/>
      </w:rPr>
    </w:lvl>
    <w:lvl w:ilvl="5" w:tplc="EDD83C2E" w:tentative="1">
      <w:start w:val="1"/>
      <w:numFmt w:val="bullet"/>
      <w:lvlText w:val="•"/>
      <w:lvlJc w:val="left"/>
      <w:pPr>
        <w:tabs>
          <w:tab w:val="num" w:pos="4320"/>
        </w:tabs>
        <w:ind w:left="4320" w:hanging="360"/>
      </w:pPr>
      <w:rPr>
        <w:rFonts w:ascii="Arial" w:hAnsi="Arial" w:hint="default"/>
      </w:rPr>
    </w:lvl>
    <w:lvl w:ilvl="6" w:tplc="0B46FD46" w:tentative="1">
      <w:start w:val="1"/>
      <w:numFmt w:val="bullet"/>
      <w:lvlText w:val="•"/>
      <w:lvlJc w:val="left"/>
      <w:pPr>
        <w:tabs>
          <w:tab w:val="num" w:pos="5040"/>
        </w:tabs>
        <w:ind w:left="5040" w:hanging="360"/>
      </w:pPr>
      <w:rPr>
        <w:rFonts w:ascii="Arial" w:hAnsi="Arial" w:hint="default"/>
      </w:rPr>
    </w:lvl>
    <w:lvl w:ilvl="7" w:tplc="1FD0D964" w:tentative="1">
      <w:start w:val="1"/>
      <w:numFmt w:val="bullet"/>
      <w:lvlText w:val="•"/>
      <w:lvlJc w:val="left"/>
      <w:pPr>
        <w:tabs>
          <w:tab w:val="num" w:pos="5760"/>
        </w:tabs>
        <w:ind w:left="5760" w:hanging="360"/>
      </w:pPr>
      <w:rPr>
        <w:rFonts w:ascii="Arial" w:hAnsi="Arial" w:hint="default"/>
      </w:rPr>
    </w:lvl>
    <w:lvl w:ilvl="8" w:tplc="7E7619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E109C0"/>
    <w:multiLevelType w:val="hybridMultilevel"/>
    <w:tmpl w:val="8850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A0640"/>
    <w:multiLevelType w:val="hybridMultilevel"/>
    <w:tmpl w:val="D66222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41F2B"/>
    <w:multiLevelType w:val="hybridMultilevel"/>
    <w:tmpl w:val="F9A6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91DCA"/>
    <w:multiLevelType w:val="hybridMultilevel"/>
    <w:tmpl w:val="00CA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912A9"/>
    <w:multiLevelType w:val="hybridMultilevel"/>
    <w:tmpl w:val="A26EE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6D1615"/>
    <w:multiLevelType w:val="hybridMultilevel"/>
    <w:tmpl w:val="C0F8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24275"/>
    <w:multiLevelType w:val="hybridMultilevel"/>
    <w:tmpl w:val="A0A08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024262"/>
    <w:multiLevelType w:val="hybridMultilevel"/>
    <w:tmpl w:val="BE3C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A79B4"/>
    <w:multiLevelType w:val="hybridMultilevel"/>
    <w:tmpl w:val="88DE2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1A16CA"/>
    <w:multiLevelType w:val="hybridMultilevel"/>
    <w:tmpl w:val="FFD2D9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B6BF1"/>
    <w:multiLevelType w:val="hybridMultilevel"/>
    <w:tmpl w:val="8EF2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70431"/>
    <w:multiLevelType w:val="hybridMultilevel"/>
    <w:tmpl w:val="DD18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37FED"/>
    <w:multiLevelType w:val="multilevel"/>
    <w:tmpl w:val="F9363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2F56A62"/>
    <w:multiLevelType w:val="hybridMultilevel"/>
    <w:tmpl w:val="183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77D9E"/>
    <w:multiLevelType w:val="hybridMultilevel"/>
    <w:tmpl w:val="D150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83EB3"/>
    <w:multiLevelType w:val="hybridMultilevel"/>
    <w:tmpl w:val="F15C1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D80FCC"/>
    <w:multiLevelType w:val="hybridMultilevel"/>
    <w:tmpl w:val="8F309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8C6176"/>
    <w:multiLevelType w:val="hybridMultilevel"/>
    <w:tmpl w:val="5416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9"/>
  </w:num>
  <w:num w:numId="4">
    <w:abstractNumId w:val="8"/>
  </w:num>
  <w:num w:numId="5">
    <w:abstractNumId w:val="16"/>
  </w:num>
  <w:num w:numId="6">
    <w:abstractNumId w:val="4"/>
  </w:num>
  <w:num w:numId="7">
    <w:abstractNumId w:val="17"/>
  </w:num>
  <w:num w:numId="8">
    <w:abstractNumId w:val="13"/>
  </w:num>
  <w:num w:numId="9">
    <w:abstractNumId w:val="1"/>
  </w:num>
  <w:num w:numId="10">
    <w:abstractNumId w:val="28"/>
  </w:num>
  <w:num w:numId="11">
    <w:abstractNumId w:val="19"/>
  </w:num>
  <w:num w:numId="12">
    <w:abstractNumId w:val="15"/>
  </w:num>
  <w:num w:numId="13">
    <w:abstractNumId w:val="27"/>
  </w:num>
  <w:num w:numId="14">
    <w:abstractNumId w:val="5"/>
  </w:num>
  <w:num w:numId="15">
    <w:abstractNumId w:val="24"/>
  </w:num>
  <w:num w:numId="16">
    <w:abstractNumId w:val="22"/>
  </w:num>
  <w:num w:numId="17">
    <w:abstractNumId w:val="18"/>
  </w:num>
  <w:num w:numId="18">
    <w:abstractNumId w:val="26"/>
  </w:num>
  <w:num w:numId="19">
    <w:abstractNumId w:val="25"/>
  </w:num>
  <w:num w:numId="20">
    <w:abstractNumId w:val="7"/>
  </w:num>
  <w:num w:numId="21">
    <w:abstractNumId w:val="6"/>
  </w:num>
  <w:num w:numId="22">
    <w:abstractNumId w:val="20"/>
  </w:num>
  <w:num w:numId="23">
    <w:abstractNumId w:val="14"/>
  </w:num>
  <w:num w:numId="24">
    <w:abstractNumId w:val="30"/>
  </w:num>
  <w:num w:numId="25">
    <w:abstractNumId w:val="0"/>
  </w:num>
  <w:num w:numId="26">
    <w:abstractNumId w:val="2"/>
  </w:num>
  <w:num w:numId="27">
    <w:abstractNumId w:val="9"/>
  </w:num>
  <w:num w:numId="28">
    <w:abstractNumId w:val="12"/>
  </w:num>
  <w:num w:numId="29">
    <w:abstractNumId w:val="21"/>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C7B"/>
    <w:rsid w:val="0002045B"/>
    <w:rsid w:val="0002351B"/>
    <w:rsid w:val="00031488"/>
    <w:rsid w:val="00034D83"/>
    <w:rsid w:val="000378A4"/>
    <w:rsid w:val="00040D1F"/>
    <w:rsid w:val="000438F5"/>
    <w:rsid w:val="000512A1"/>
    <w:rsid w:val="00084BF4"/>
    <w:rsid w:val="00091518"/>
    <w:rsid w:val="000B3AD5"/>
    <w:rsid w:val="000B7F42"/>
    <w:rsid w:val="000D5B5A"/>
    <w:rsid w:val="000E24D8"/>
    <w:rsid w:val="001171F6"/>
    <w:rsid w:val="0013221B"/>
    <w:rsid w:val="00137E80"/>
    <w:rsid w:val="00145F54"/>
    <w:rsid w:val="001673CD"/>
    <w:rsid w:val="001966D0"/>
    <w:rsid w:val="001C456E"/>
    <w:rsid w:val="001E3504"/>
    <w:rsid w:val="001E4551"/>
    <w:rsid w:val="001F00D7"/>
    <w:rsid w:val="001F24AC"/>
    <w:rsid w:val="001F30CF"/>
    <w:rsid w:val="00214E64"/>
    <w:rsid w:val="0021518B"/>
    <w:rsid w:val="00216A72"/>
    <w:rsid w:val="002171E1"/>
    <w:rsid w:val="002422B6"/>
    <w:rsid w:val="002635F7"/>
    <w:rsid w:val="00263B08"/>
    <w:rsid w:val="002645DD"/>
    <w:rsid w:val="002A08E5"/>
    <w:rsid w:val="002A0B13"/>
    <w:rsid w:val="002A5BDF"/>
    <w:rsid w:val="002A7C11"/>
    <w:rsid w:val="002B75DA"/>
    <w:rsid w:val="002C5C7B"/>
    <w:rsid w:val="002F7F80"/>
    <w:rsid w:val="0030634B"/>
    <w:rsid w:val="0034523F"/>
    <w:rsid w:val="00354265"/>
    <w:rsid w:val="003630DA"/>
    <w:rsid w:val="0036454E"/>
    <w:rsid w:val="00385A4F"/>
    <w:rsid w:val="00397016"/>
    <w:rsid w:val="003A651A"/>
    <w:rsid w:val="003B4016"/>
    <w:rsid w:val="003B7298"/>
    <w:rsid w:val="003C51E4"/>
    <w:rsid w:val="003D4F18"/>
    <w:rsid w:val="003E6B90"/>
    <w:rsid w:val="003F7D72"/>
    <w:rsid w:val="004344A0"/>
    <w:rsid w:val="00443D35"/>
    <w:rsid w:val="00443DE6"/>
    <w:rsid w:val="00445562"/>
    <w:rsid w:val="00445B32"/>
    <w:rsid w:val="004653C4"/>
    <w:rsid w:val="004D056E"/>
    <w:rsid w:val="004D128A"/>
    <w:rsid w:val="004D3F84"/>
    <w:rsid w:val="004D544F"/>
    <w:rsid w:val="004F061A"/>
    <w:rsid w:val="004F601D"/>
    <w:rsid w:val="00516C3C"/>
    <w:rsid w:val="00522233"/>
    <w:rsid w:val="005270BA"/>
    <w:rsid w:val="00531BE7"/>
    <w:rsid w:val="00553A80"/>
    <w:rsid w:val="00556AE8"/>
    <w:rsid w:val="00561DFD"/>
    <w:rsid w:val="005632A3"/>
    <w:rsid w:val="00583A7C"/>
    <w:rsid w:val="0058408F"/>
    <w:rsid w:val="00584D08"/>
    <w:rsid w:val="005A2A24"/>
    <w:rsid w:val="005A56EA"/>
    <w:rsid w:val="005C0D89"/>
    <w:rsid w:val="005C13AF"/>
    <w:rsid w:val="005D1370"/>
    <w:rsid w:val="00615310"/>
    <w:rsid w:val="00634E25"/>
    <w:rsid w:val="006367C2"/>
    <w:rsid w:val="0064234E"/>
    <w:rsid w:val="00652247"/>
    <w:rsid w:val="00655338"/>
    <w:rsid w:val="00676B72"/>
    <w:rsid w:val="00682EB2"/>
    <w:rsid w:val="006969A3"/>
    <w:rsid w:val="006C721C"/>
    <w:rsid w:val="006E5822"/>
    <w:rsid w:val="006F7A03"/>
    <w:rsid w:val="00700036"/>
    <w:rsid w:val="0071265D"/>
    <w:rsid w:val="007143AC"/>
    <w:rsid w:val="00717712"/>
    <w:rsid w:val="0074091B"/>
    <w:rsid w:val="00740F09"/>
    <w:rsid w:val="00760286"/>
    <w:rsid w:val="00761B1B"/>
    <w:rsid w:val="007768DC"/>
    <w:rsid w:val="00781E65"/>
    <w:rsid w:val="00783135"/>
    <w:rsid w:val="007F2A5D"/>
    <w:rsid w:val="00800B8E"/>
    <w:rsid w:val="008048CB"/>
    <w:rsid w:val="00805625"/>
    <w:rsid w:val="00811D5B"/>
    <w:rsid w:val="00833482"/>
    <w:rsid w:val="00833F4F"/>
    <w:rsid w:val="00835239"/>
    <w:rsid w:val="00841DEB"/>
    <w:rsid w:val="00855D06"/>
    <w:rsid w:val="00857F9F"/>
    <w:rsid w:val="008612BE"/>
    <w:rsid w:val="008746E8"/>
    <w:rsid w:val="00874CF6"/>
    <w:rsid w:val="00886BF3"/>
    <w:rsid w:val="00890B8F"/>
    <w:rsid w:val="008B7876"/>
    <w:rsid w:val="008C56A7"/>
    <w:rsid w:val="008C6BEE"/>
    <w:rsid w:val="008C72D7"/>
    <w:rsid w:val="008C764D"/>
    <w:rsid w:val="008D526C"/>
    <w:rsid w:val="008D57A5"/>
    <w:rsid w:val="00900BBD"/>
    <w:rsid w:val="00911A90"/>
    <w:rsid w:val="00911F3F"/>
    <w:rsid w:val="009266F9"/>
    <w:rsid w:val="00944D37"/>
    <w:rsid w:val="009519E2"/>
    <w:rsid w:val="00953F19"/>
    <w:rsid w:val="00973099"/>
    <w:rsid w:val="0098496D"/>
    <w:rsid w:val="00993A0B"/>
    <w:rsid w:val="009A5D75"/>
    <w:rsid w:val="009B6D8F"/>
    <w:rsid w:val="009B7E2C"/>
    <w:rsid w:val="009C1956"/>
    <w:rsid w:val="009C21A1"/>
    <w:rsid w:val="009D2753"/>
    <w:rsid w:val="00A02146"/>
    <w:rsid w:val="00A060F4"/>
    <w:rsid w:val="00A22EB7"/>
    <w:rsid w:val="00A417AE"/>
    <w:rsid w:val="00A4345B"/>
    <w:rsid w:val="00A502C0"/>
    <w:rsid w:val="00A56847"/>
    <w:rsid w:val="00A56A10"/>
    <w:rsid w:val="00A80D0E"/>
    <w:rsid w:val="00A840DB"/>
    <w:rsid w:val="00AA3B5D"/>
    <w:rsid w:val="00AB7000"/>
    <w:rsid w:val="00AD26AC"/>
    <w:rsid w:val="00AD514D"/>
    <w:rsid w:val="00AD68A7"/>
    <w:rsid w:val="00AE3626"/>
    <w:rsid w:val="00AF3F62"/>
    <w:rsid w:val="00AF7980"/>
    <w:rsid w:val="00B001A7"/>
    <w:rsid w:val="00B26080"/>
    <w:rsid w:val="00B43B40"/>
    <w:rsid w:val="00B96A3D"/>
    <w:rsid w:val="00BE5EB5"/>
    <w:rsid w:val="00C02126"/>
    <w:rsid w:val="00C03514"/>
    <w:rsid w:val="00C2694C"/>
    <w:rsid w:val="00C276FC"/>
    <w:rsid w:val="00C30695"/>
    <w:rsid w:val="00C3592A"/>
    <w:rsid w:val="00C44E87"/>
    <w:rsid w:val="00C66734"/>
    <w:rsid w:val="00C66DB4"/>
    <w:rsid w:val="00C7102F"/>
    <w:rsid w:val="00C813E4"/>
    <w:rsid w:val="00CC3E00"/>
    <w:rsid w:val="00CC6763"/>
    <w:rsid w:val="00CC7BAA"/>
    <w:rsid w:val="00CD40F3"/>
    <w:rsid w:val="00CD601A"/>
    <w:rsid w:val="00CD727F"/>
    <w:rsid w:val="00CE60BC"/>
    <w:rsid w:val="00CE79CA"/>
    <w:rsid w:val="00D04368"/>
    <w:rsid w:val="00D05ABD"/>
    <w:rsid w:val="00D06F39"/>
    <w:rsid w:val="00D333C2"/>
    <w:rsid w:val="00D75FD0"/>
    <w:rsid w:val="00D9383C"/>
    <w:rsid w:val="00DB09EA"/>
    <w:rsid w:val="00DB65BE"/>
    <w:rsid w:val="00DD59BB"/>
    <w:rsid w:val="00DE267D"/>
    <w:rsid w:val="00E23698"/>
    <w:rsid w:val="00E34464"/>
    <w:rsid w:val="00E73FF8"/>
    <w:rsid w:val="00E95298"/>
    <w:rsid w:val="00EA751D"/>
    <w:rsid w:val="00EB3176"/>
    <w:rsid w:val="00EC259B"/>
    <w:rsid w:val="00EC3247"/>
    <w:rsid w:val="00ED18B2"/>
    <w:rsid w:val="00EE26AF"/>
    <w:rsid w:val="00EE5D58"/>
    <w:rsid w:val="00EE7A08"/>
    <w:rsid w:val="00EF0C5B"/>
    <w:rsid w:val="00F05102"/>
    <w:rsid w:val="00F15B40"/>
    <w:rsid w:val="00F35BD2"/>
    <w:rsid w:val="00F455FB"/>
    <w:rsid w:val="00F66F15"/>
    <w:rsid w:val="00F85044"/>
    <w:rsid w:val="00F90A1D"/>
    <w:rsid w:val="00F94CAA"/>
    <w:rsid w:val="00FA0A6D"/>
    <w:rsid w:val="00FA59AF"/>
    <w:rsid w:val="00FC324D"/>
    <w:rsid w:val="00FC5F12"/>
    <w:rsid w:val="00FE14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D5CEC"/>
  <w15:docId w15:val="{2E672F23-7F1F-4192-90B7-5B36C949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E25"/>
    <w:rPr>
      <w:sz w:val="24"/>
      <w:szCs w:val="24"/>
      <w:lang w:eastAsia="ja-JP"/>
    </w:rPr>
  </w:style>
  <w:style w:type="paragraph" w:styleId="Heading2">
    <w:name w:val="heading 2"/>
    <w:basedOn w:val="Normal"/>
    <w:next w:val="Normal"/>
    <w:link w:val="Heading2Char"/>
    <w:uiPriority w:val="9"/>
    <w:qFormat/>
    <w:rsid w:val="00137E80"/>
    <w:pPr>
      <w:keepNext/>
      <w:keepLines/>
      <w:spacing w:before="200"/>
      <w:outlineLvl w:val="1"/>
    </w:pPr>
    <w:rPr>
      <w:rFonts w:ascii="Calibri" w:eastAsia="MS Gothic" w:hAnsi="Calibri"/>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2C5C7B"/>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ms Rm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ms Rm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ms Rmn" w:hAnsi="Symbol" w:cs="Times New Roman"/>
        <w:b/>
        <w:bCs/>
      </w:rPr>
    </w:tblStylePr>
    <w:tblStylePr w:type="lastCol">
      <w:rPr>
        <w:rFonts w:ascii="Symbol" w:eastAsia="Tms Rm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olorfulList-Accent11">
    <w:name w:val="Colorful List - Accent 11"/>
    <w:basedOn w:val="Normal"/>
    <w:uiPriority w:val="34"/>
    <w:qFormat/>
    <w:rsid w:val="005D1370"/>
    <w:pPr>
      <w:ind w:left="720"/>
      <w:contextualSpacing/>
    </w:pPr>
  </w:style>
  <w:style w:type="paragraph" w:styleId="BalloonText">
    <w:name w:val="Balloon Text"/>
    <w:basedOn w:val="Normal"/>
    <w:link w:val="BalloonTextChar"/>
    <w:semiHidden/>
    <w:unhideWhenUsed/>
    <w:rsid w:val="004F061A"/>
    <w:rPr>
      <w:rFonts w:ascii="Segoe UI" w:hAnsi="Segoe UI" w:cs="Segoe UI"/>
      <w:sz w:val="18"/>
      <w:szCs w:val="18"/>
    </w:rPr>
  </w:style>
  <w:style w:type="character" w:customStyle="1" w:styleId="BalloonTextChar">
    <w:name w:val="Balloon Text Char"/>
    <w:link w:val="BalloonText"/>
    <w:semiHidden/>
    <w:rsid w:val="004F061A"/>
    <w:rPr>
      <w:rFonts w:ascii="Segoe UI" w:hAnsi="Segoe UI" w:cs="Segoe UI"/>
      <w:sz w:val="18"/>
      <w:szCs w:val="18"/>
    </w:rPr>
  </w:style>
  <w:style w:type="character" w:styleId="CommentReference">
    <w:name w:val="annotation reference"/>
    <w:semiHidden/>
    <w:unhideWhenUsed/>
    <w:rsid w:val="002A5BDF"/>
    <w:rPr>
      <w:sz w:val="18"/>
      <w:szCs w:val="18"/>
    </w:rPr>
  </w:style>
  <w:style w:type="paragraph" w:styleId="CommentText">
    <w:name w:val="annotation text"/>
    <w:basedOn w:val="Normal"/>
    <w:link w:val="CommentTextChar"/>
    <w:semiHidden/>
    <w:unhideWhenUsed/>
    <w:rsid w:val="002A5BDF"/>
  </w:style>
  <w:style w:type="character" w:customStyle="1" w:styleId="CommentTextChar">
    <w:name w:val="Comment Text Char"/>
    <w:basedOn w:val="DefaultParagraphFont"/>
    <w:link w:val="CommentText"/>
    <w:semiHidden/>
    <w:rsid w:val="002A5BDF"/>
  </w:style>
  <w:style w:type="paragraph" w:styleId="CommentSubject">
    <w:name w:val="annotation subject"/>
    <w:basedOn w:val="CommentText"/>
    <w:next w:val="CommentText"/>
    <w:link w:val="CommentSubjectChar"/>
    <w:semiHidden/>
    <w:unhideWhenUsed/>
    <w:rsid w:val="002A5BDF"/>
    <w:rPr>
      <w:b/>
      <w:bCs/>
      <w:sz w:val="20"/>
      <w:szCs w:val="20"/>
    </w:rPr>
  </w:style>
  <w:style w:type="character" w:customStyle="1" w:styleId="CommentSubjectChar">
    <w:name w:val="Comment Subject Char"/>
    <w:link w:val="CommentSubject"/>
    <w:semiHidden/>
    <w:rsid w:val="002A5BDF"/>
    <w:rPr>
      <w:b/>
      <w:bCs/>
      <w:sz w:val="20"/>
      <w:szCs w:val="20"/>
    </w:rPr>
  </w:style>
  <w:style w:type="paragraph" w:styleId="ListParagraph">
    <w:name w:val="List Paragraph"/>
    <w:basedOn w:val="Normal"/>
    <w:uiPriority w:val="34"/>
    <w:qFormat/>
    <w:rsid w:val="004344A0"/>
    <w:pPr>
      <w:ind w:left="720"/>
    </w:pPr>
    <w:rPr>
      <w:rFonts w:ascii="Calibri" w:eastAsia="Calibri" w:hAnsi="Calibri" w:cs="Calibri"/>
      <w:sz w:val="22"/>
      <w:szCs w:val="22"/>
      <w:lang w:eastAsia="en-US"/>
    </w:rPr>
  </w:style>
  <w:style w:type="character" w:customStyle="1" w:styleId="Heading2Char">
    <w:name w:val="Heading 2 Char"/>
    <w:link w:val="Heading2"/>
    <w:uiPriority w:val="9"/>
    <w:rsid w:val="00137E80"/>
    <w:rPr>
      <w:rFonts w:ascii="Calibri" w:eastAsia="MS Gothic" w:hAnsi="Calibri"/>
      <w:b/>
      <w:bCs/>
      <w:color w:val="4F81BD"/>
      <w:sz w:val="26"/>
      <w:szCs w:val="26"/>
    </w:rPr>
  </w:style>
  <w:style w:type="character" w:styleId="PageNumber">
    <w:name w:val="page number"/>
    <w:basedOn w:val="DefaultParagraphFont"/>
    <w:uiPriority w:val="99"/>
    <w:semiHidden/>
    <w:unhideWhenUsed/>
    <w:rsid w:val="00137E80"/>
  </w:style>
  <w:style w:type="paragraph" w:styleId="NormalWeb">
    <w:name w:val="Normal (Web)"/>
    <w:basedOn w:val="Normal"/>
    <w:uiPriority w:val="99"/>
    <w:semiHidden/>
    <w:unhideWhenUsed/>
    <w:rsid w:val="00C7102F"/>
    <w:pPr>
      <w:spacing w:before="100" w:beforeAutospacing="1" w:after="100" w:afterAutospacing="1"/>
    </w:pPr>
    <w:rPr>
      <w:rFonts w:ascii="Times New Roman" w:eastAsia="Times New Roman" w:hAnsi="Times New Roman"/>
      <w:lang w:eastAsia="en-US"/>
    </w:rPr>
  </w:style>
  <w:style w:type="paragraph" w:styleId="Header">
    <w:name w:val="header"/>
    <w:basedOn w:val="Normal"/>
    <w:link w:val="HeaderChar"/>
    <w:unhideWhenUsed/>
    <w:rsid w:val="006367C2"/>
    <w:pPr>
      <w:tabs>
        <w:tab w:val="center" w:pos="4680"/>
        <w:tab w:val="right" w:pos="9360"/>
      </w:tabs>
    </w:pPr>
  </w:style>
  <w:style w:type="character" w:customStyle="1" w:styleId="HeaderChar">
    <w:name w:val="Header Char"/>
    <w:basedOn w:val="DefaultParagraphFont"/>
    <w:link w:val="Header"/>
    <w:rsid w:val="006367C2"/>
    <w:rPr>
      <w:sz w:val="24"/>
      <w:szCs w:val="24"/>
      <w:lang w:eastAsia="ja-JP"/>
    </w:rPr>
  </w:style>
  <w:style w:type="paragraph" w:styleId="Footer">
    <w:name w:val="footer"/>
    <w:basedOn w:val="Normal"/>
    <w:link w:val="FooterChar"/>
    <w:uiPriority w:val="99"/>
    <w:unhideWhenUsed/>
    <w:rsid w:val="006367C2"/>
    <w:pPr>
      <w:tabs>
        <w:tab w:val="center" w:pos="4680"/>
        <w:tab w:val="right" w:pos="9360"/>
      </w:tabs>
    </w:pPr>
  </w:style>
  <w:style w:type="character" w:customStyle="1" w:styleId="FooterChar">
    <w:name w:val="Footer Char"/>
    <w:basedOn w:val="DefaultParagraphFont"/>
    <w:link w:val="Footer"/>
    <w:uiPriority w:val="99"/>
    <w:rsid w:val="006367C2"/>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1184">
      <w:bodyDiv w:val="1"/>
      <w:marLeft w:val="0"/>
      <w:marRight w:val="0"/>
      <w:marTop w:val="0"/>
      <w:marBottom w:val="0"/>
      <w:divBdr>
        <w:top w:val="none" w:sz="0" w:space="0" w:color="auto"/>
        <w:left w:val="none" w:sz="0" w:space="0" w:color="auto"/>
        <w:bottom w:val="none" w:sz="0" w:space="0" w:color="auto"/>
        <w:right w:val="none" w:sz="0" w:space="0" w:color="auto"/>
      </w:divBdr>
      <w:divsChild>
        <w:div w:id="2123264171">
          <w:marLeft w:val="547"/>
          <w:marRight w:val="0"/>
          <w:marTop w:val="125"/>
          <w:marBottom w:val="0"/>
          <w:divBdr>
            <w:top w:val="none" w:sz="0" w:space="0" w:color="auto"/>
            <w:left w:val="none" w:sz="0" w:space="0" w:color="auto"/>
            <w:bottom w:val="none" w:sz="0" w:space="0" w:color="auto"/>
            <w:right w:val="none" w:sz="0" w:space="0" w:color="auto"/>
          </w:divBdr>
        </w:div>
      </w:divsChild>
    </w:div>
    <w:div w:id="107359690">
      <w:bodyDiv w:val="1"/>
      <w:marLeft w:val="0"/>
      <w:marRight w:val="0"/>
      <w:marTop w:val="0"/>
      <w:marBottom w:val="0"/>
      <w:divBdr>
        <w:top w:val="none" w:sz="0" w:space="0" w:color="auto"/>
        <w:left w:val="none" w:sz="0" w:space="0" w:color="auto"/>
        <w:bottom w:val="none" w:sz="0" w:space="0" w:color="auto"/>
        <w:right w:val="none" w:sz="0" w:space="0" w:color="auto"/>
      </w:divBdr>
    </w:div>
    <w:div w:id="465394170">
      <w:bodyDiv w:val="1"/>
      <w:marLeft w:val="0"/>
      <w:marRight w:val="0"/>
      <w:marTop w:val="0"/>
      <w:marBottom w:val="0"/>
      <w:divBdr>
        <w:top w:val="none" w:sz="0" w:space="0" w:color="auto"/>
        <w:left w:val="none" w:sz="0" w:space="0" w:color="auto"/>
        <w:bottom w:val="none" w:sz="0" w:space="0" w:color="auto"/>
        <w:right w:val="none" w:sz="0" w:space="0" w:color="auto"/>
      </w:divBdr>
      <w:divsChild>
        <w:div w:id="2123962832">
          <w:marLeft w:val="0"/>
          <w:marRight w:val="0"/>
          <w:marTop w:val="0"/>
          <w:marBottom w:val="0"/>
          <w:divBdr>
            <w:top w:val="none" w:sz="0" w:space="0" w:color="auto"/>
            <w:left w:val="none" w:sz="0" w:space="0" w:color="auto"/>
            <w:bottom w:val="none" w:sz="0" w:space="0" w:color="auto"/>
            <w:right w:val="none" w:sz="0" w:space="0" w:color="auto"/>
          </w:divBdr>
        </w:div>
        <w:div w:id="1465077373">
          <w:marLeft w:val="0"/>
          <w:marRight w:val="0"/>
          <w:marTop w:val="0"/>
          <w:marBottom w:val="0"/>
          <w:divBdr>
            <w:top w:val="none" w:sz="0" w:space="0" w:color="auto"/>
            <w:left w:val="none" w:sz="0" w:space="0" w:color="auto"/>
            <w:bottom w:val="none" w:sz="0" w:space="0" w:color="auto"/>
            <w:right w:val="none" w:sz="0" w:space="0" w:color="auto"/>
          </w:divBdr>
        </w:div>
        <w:div w:id="870265362">
          <w:marLeft w:val="0"/>
          <w:marRight w:val="0"/>
          <w:marTop w:val="0"/>
          <w:marBottom w:val="0"/>
          <w:divBdr>
            <w:top w:val="none" w:sz="0" w:space="0" w:color="auto"/>
            <w:left w:val="none" w:sz="0" w:space="0" w:color="auto"/>
            <w:bottom w:val="none" w:sz="0" w:space="0" w:color="auto"/>
            <w:right w:val="none" w:sz="0" w:space="0" w:color="auto"/>
          </w:divBdr>
        </w:div>
        <w:div w:id="1835609649">
          <w:marLeft w:val="0"/>
          <w:marRight w:val="0"/>
          <w:marTop w:val="0"/>
          <w:marBottom w:val="0"/>
          <w:divBdr>
            <w:top w:val="none" w:sz="0" w:space="0" w:color="auto"/>
            <w:left w:val="none" w:sz="0" w:space="0" w:color="auto"/>
            <w:bottom w:val="none" w:sz="0" w:space="0" w:color="auto"/>
            <w:right w:val="none" w:sz="0" w:space="0" w:color="auto"/>
          </w:divBdr>
        </w:div>
        <w:div w:id="374814648">
          <w:marLeft w:val="0"/>
          <w:marRight w:val="0"/>
          <w:marTop w:val="0"/>
          <w:marBottom w:val="0"/>
          <w:divBdr>
            <w:top w:val="none" w:sz="0" w:space="0" w:color="auto"/>
            <w:left w:val="none" w:sz="0" w:space="0" w:color="auto"/>
            <w:bottom w:val="none" w:sz="0" w:space="0" w:color="auto"/>
            <w:right w:val="none" w:sz="0" w:space="0" w:color="auto"/>
          </w:divBdr>
        </w:div>
      </w:divsChild>
    </w:div>
    <w:div w:id="558709979">
      <w:bodyDiv w:val="1"/>
      <w:marLeft w:val="0"/>
      <w:marRight w:val="0"/>
      <w:marTop w:val="0"/>
      <w:marBottom w:val="0"/>
      <w:divBdr>
        <w:top w:val="none" w:sz="0" w:space="0" w:color="auto"/>
        <w:left w:val="none" w:sz="0" w:space="0" w:color="auto"/>
        <w:bottom w:val="none" w:sz="0" w:space="0" w:color="auto"/>
        <w:right w:val="none" w:sz="0" w:space="0" w:color="auto"/>
      </w:divBdr>
      <w:divsChild>
        <w:div w:id="20058819">
          <w:marLeft w:val="0"/>
          <w:marRight w:val="0"/>
          <w:marTop w:val="0"/>
          <w:marBottom w:val="0"/>
          <w:divBdr>
            <w:top w:val="none" w:sz="0" w:space="0" w:color="auto"/>
            <w:left w:val="none" w:sz="0" w:space="0" w:color="auto"/>
            <w:bottom w:val="none" w:sz="0" w:space="0" w:color="auto"/>
            <w:right w:val="none" w:sz="0" w:space="0" w:color="auto"/>
          </w:divBdr>
        </w:div>
        <w:div w:id="1648509680">
          <w:marLeft w:val="0"/>
          <w:marRight w:val="0"/>
          <w:marTop w:val="0"/>
          <w:marBottom w:val="0"/>
          <w:divBdr>
            <w:top w:val="none" w:sz="0" w:space="0" w:color="auto"/>
            <w:left w:val="none" w:sz="0" w:space="0" w:color="auto"/>
            <w:bottom w:val="none" w:sz="0" w:space="0" w:color="auto"/>
            <w:right w:val="none" w:sz="0" w:space="0" w:color="auto"/>
          </w:divBdr>
        </w:div>
        <w:div w:id="195316312">
          <w:marLeft w:val="0"/>
          <w:marRight w:val="0"/>
          <w:marTop w:val="0"/>
          <w:marBottom w:val="0"/>
          <w:divBdr>
            <w:top w:val="none" w:sz="0" w:space="0" w:color="auto"/>
            <w:left w:val="none" w:sz="0" w:space="0" w:color="auto"/>
            <w:bottom w:val="none" w:sz="0" w:space="0" w:color="auto"/>
            <w:right w:val="none" w:sz="0" w:space="0" w:color="auto"/>
          </w:divBdr>
        </w:div>
        <w:div w:id="1091973341">
          <w:marLeft w:val="0"/>
          <w:marRight w:val="0"/>
          <w:marTop w:val="0"/>
          <w:marBottom w:val="0"/>
          <w:divBdr>
            <w:top w:val="none" w:sz="0" w:space="0" w:color="auto"/>
            <w:left w:val="none" w:sz="0" w:space="0" w:color="auto"/>
            <w:bottom w:val="none" w:sz="0" w:space="0" w:color="auto"/>
            <w:right w:val="none" w:sz="0" w:space="0" w:color="auto"/>
          </w:divBdr>
        </w:div>
        <w:div w:id="715005198">
          <w:marLeft w:val="0"/>
          <w:marRight w:val="0"/>
          <w:marTop w:val="0"/>
          <w:marBottom w:val="0"/>
          <w:divBdr>
            <w:top w:val="none" w:sz="0" w:space="0" w:color="auto"/>
            <w:left w:val="none" w:sz="0" w:space="0" w:color="auto"/>
            <w:bottom w:val="none" w:sz="0" w:space="0" w:color="auto"/>
            <w:right w:val="none" w:sz="0" w:space="0" w:color="auto"/>
          </w:divBdr>
        </w:div>
      </w:divsChild>
    </w:div>
    <w:div w:id="901137302">
      <w:bodyDiv w:val="1"/>
      <w:marLeft w:val="0"/>
      <w:marRight w:val="0"/>
      <w:marTop w:val="0"/>
      <w:marBottom w:val="0"/>
      <w:divBdr>
        <w:top w:val="none" w:sz="0" w:space="0" w:color="auto"/>
        <w:left w:val="none" w:sz="0" w:space="0" w:color="auto"/>
        <w:bottom w:val="none" w:sz="0" w:space="0" w:color="auto"/>
        <w:right w:val="none" w:sz="0" w:space="0" w:color="auto"/>
      </w:divBdr>
      <w:divsChild>
        <w:div w:id="239943556">
          <w:marLeft w:val="547"/>
          <w:marRight w:val="0"/>
          <w:marTop w:val="125"/>
          <w:marBottom w:val="0"/>
          <w:divBdr>
            <w:top w:val="none" w:sz="0" w:space="0" w:color="auto"/>
            <w:left w:val="none" w:sz="0" w:space="0" w:color="auto"/>
            <w:bottom w:val="none" w:sz="0" w:space="0" w:color="auto"/>
            <w:right w:val="none" w:sz="0" w:space="0" w:color="auto"/>
          </w:divBdr>
        </w:div>
      </w:divsChild>
    </w:div>
    <w:div w:id="912353711">
      <w:bodyDiv w:val="1"/>
      <w:marLeft w:val="0"/>
      <w:marRight w:val="0"/>
      <w:marTop w:val="0"/>
      <w:marBottom w:val="0"/>
      <w:divBdr>
        <w:top w:val="none" w:sz="0" w:space="0" w:color="auto"/>
        <w:left w:val="none" w:sz="0" w:space="0" w:color="auto"/>
        <w:bottom w:val="none" w:sz="0" w:space="0" w:color="auto"/>
        <w:right w:val="none" w:sz="0" w:space="0" w:color="auto"/>
      </w:divBdr>
      <w:divsChild>
        <w:div w:id="1562322584">
          <w:marLeft w:val="547"/>
          <w:marRight w:val="0"/>
          <w:marTop w:val="125"/>
          <w:marBottom w:val="0"/>
          <w:divBdr>
            <w:top w:val="none" w:sz="0" w:space="0" w:color="auto"/>
            <w:left w:val="none" w:sz="0" w:space="0" w:color="auto"/>
            <w:bottom w:val="none" w:sz="0" w:space="0" w:color="auto"/>
            <w:right w:val="none" w:sz="0" w:space="0" w:color="auto"/>
          </w:divBdr>
        </w:div>
      </w:divsChild>
    </w:div>
    <w:div w:id="1125805150">
      <w:bodyDiv w:val="1"/>
      <w:marLeft w:val="0"/>
      <w:marRight w:val="0"/>
      <w:marTop w:val="0"/>
      <w:marBottom w:val="0"/>
      <w:divBdr>
        <w:top w:val="none" w:sz="0" w:space="0" w:color="auto"/>
        <w:left w:val="none" w:sz="0" w:space="0" w:color="auto"/>
        <w:bottom w:val="none" w:sz="0" w:space="0" w:color="auto"/>
        <w:right w:val="none" w:sz="0" w:space="0" w:color="auto"/>
      </w:divBdr>
    </w:div>
    <w:div w:id="1256673748">
      <w:bodyDiv w:val="1"/>
      <w:marLeft w:val="0"/>
      <w:marRight w:val="0"/>
      <w:marTop w:val="0"/>
      <w:marBottom w:val="0"/>
      <w:divBdr>
        <w:top w:val="none" w:sz="0" w:space="0" w:color="auto"/>
        <w:left w:val="none" w:sz="0" w:space="0" w:color="auto"/>
        <w:bottom w:val="none" w:sz="0" w:space="0" w:color="auto"/>
        <w:right w:val="none" w:sz="0" w:space="0" w:color="auto"/>
      </w:divBdr>
      <w:divsChild>
        <w:div w:id="2004158778">
          <w:marLeft w:val="0"/>
          <w:marRight w:val="0"/>
          <w:marTop w:val="0"/>
          <w:marBottom w:val="0"/>
          <w:divBdr>
            <w:top w:val="none" w:sz="0" w:space="0" w:color="auto"/>
            <w:left w:val="none" w:sz="0" w:space="0" w:color="auto"/>
            <w:bottom w:val="none" w:sz="0" w:space="0" w:color="auto"/>
            <w:right w:val="none" w:sz="0" w:space="0" w:color="auto"/>
          </w:divBdr>
        </w:div>
        <w:div w:id="194589030">
          <w:marLeft w:val="0"/>
          <w:marRight w:val="0"/>
          <w:marTop w:val="0"/>
          <w:marBottom w:val="0"/>
          <w:divBdr>
            <w:top w:val="none" w:sz="0" w:space="0" w:color="auto"/>
            <w:left w:val="none" w:sz="0" w:space="0" w:color="auto"/>
            <w:bottom w:val="none" w:sz="0" w:space="0" w:color="auto"/>
            <w:right w:val="none" w:sz="0" w:space="0" w:color="auto"/>
          </w:divBdr>
        </w:div>
        <w:div w:id="689452489">
          <w:marLeft w:val="0"/>
          <w:marRight w:val="0"/>
          <w:marTop w:val="0"/>
          <w:marBottom w:val="0"/>
          <w:divBdr>
            <w:top w:val="none" w:sz="0" w:space="0" w:color="auto"/>
            <w:left w:val="none" w:sz="0" w:space="0" w:color="auto"/>
            <w:bottom w:val="none" w:sz="0" w:space="0" w:color="auto"/>
            <w:right w:val="none" w:sz="0" w:space="0" w:color="auto"/>
          </w:divBdr>
        </w:div>
        <w:div w:id="1790470808">
          <w:marLeft w:val="0"/>
          <w:marRight w:val="0"/>
          <w:marTop w:val="0"/>
          <w:marBottom w:val="0"/>
          <w:divBdr>
            <w:top w:val="none" w:sz="0" w:space="0" w:color="auto"/>
            <w:left w:val="none" w:sz="0" w:space="0" w:color="auto"/>
            <w:bottom w:val="none" w:sz="0" w:space="0" w:color="auto"/>
            <w:right w:val="none" w:sz="0" w:space="0" w:color="auto"/>
          </w:divBdr>
        </w:div>
        <w:div w:id="1674651189">
          <w:marLeft w:val="0"/>
          <w:marRight w:val="0"/>
          <w:marTop w:val="0"/>
          <w:marBottom w:val="0"/>
          <w:divBdr>
            <w:top w:val="none" w:sz="0" w:space="0" w:color="auto"/>
            <w:left w:val="none" w:sz="0" w:space="0" w:color="auto"/>
            <w:bottom w:val="none" w:sz="0" w:space="0" w:color="auto"/>
            <w:right w:val="none" w:sz="0" w:space="0" w:color="auto"/>
          </w:divBdr>
        </w:div>
      </w:divsChild>
    </w:div>
    <w:div w:id="1276912292">
      <w:bodyDiv w:val="1"/>
      <w:marLeft w:val="0"/>
      <w:marRight w:val="0"/>
      <w:marTop w:val="0"/>
      <w:marBottom w:val="0"/>
      <w:divBdr>
        <w:top w:val="none" w:sz="0" w:space="0" w:color="auto"/>
        <w:left w:val="none" w:sz="0" w:space="0" w:color="auto"/>
        <w:bottom w:val="none" w:sz="0" w:space="0" w:color="auto"/>
        <w:right w:val="none" w:sz="0" w:space="0" w:color="auto"/>
      </w:divBdr>
      <w:divsChild>
        <w:div w:id="1416972035">
          <w:marLeft w:val="0"/>
          <w:marRight w:val="0"/>
          <w:marTop w:val="0"/>
          <w:marBottom w:val="0"/>
          <w:divBdr>
            <w:top w:val="none" w:sz="0" w:space="0" w:color="auto"/>
            <w:left w:val="none" w:sz="0" w:space="0" w:color="auto"/>
            <w:bottom w:val="none" w:sz="0" w:space="0" w:color="auto"/>
            <w:right w:val="none" w:sz="0" w:space="0" w:color="auto"/>
          </w:divBdr>
        </w:div>
        <w:div w:id="1443301776">
          <w:marLeft w:val="0"/>
          <w:marRight w:val="0"/>
          <w:marTop w:val="0"/>
          <w:marBottom w:val="0"/>
          <w:divBdr>
            <w:top w:val="none" w:sz="0" w:space="0" w:color="auto"/>
            <w:left w:val="none" w:sz="0" w:space="0" w:color="auto"/>
            <w:bottom w:val="none" w:sz="0" w:space="0" w:color="auto"/>
            <w:right w:val="none" w:sz="0" w:space="0" w:color="auto"/>
          </w:divBdr>
        </w:div>
        <w:div w:id="1542206169">
          <w:marLeft w:val="0"/>
          <w:marRight w:val="0"/>
          <w:marTop w:val="0"/>
          <w:marBottom w:val="0"/>
          <w:divBdr>
            <w:top w:val="none" w:sz="0" w:space="0" w:color="auto"/>
            <w:left w:val="none" w:sz="0" w:space="0" w:color="auto"/>
            <w:bottom w:val="none" w:sz="0" w:space="0" w:color="auto"/>
            <w:right w:val="none" w:sz="0" w:space="0" w:color="auto"/>
          </w:divBdr>
        </w:div>
        <w:div w:id="1064566838">
          <w:marLeft w:val="0"/>
          <w:marRight w:val="0"/>
          <w:marTop w:val="0"/>
          <w:marBottom w:val="0"/>
          <w:divBdr>
            <w:top w:val="none" w:sz="0" w:space="0" w:color="auto"/>
            <w:left w:val="none" w:sz="0" w:space="0" w:color="auto"/>
            <w:bottom w:val="none" w:sz="0" w:space="0" w:color="auto"/>
            <w:right w:val="none" w:sz="0" w:space="0" w:color="auto"/>
          </w:divBdr>
        </w:div>
        <w:div w:id="740521057">
          <w:marLeft w:val="0"/>
          <w:marRight w:val="0"/>
          <w:marTop w:val="0"/>
          <w:marBottom w:val="0"/>
          <w:divBdr>
            <w:top w:val="none" w:sz="0" w:space="0" w:color="auto"/>
            <w:left w:val="none" w:sz="0" w:space="0" w:color="auto"/>
            <w:bottom w:val="none" w:sz="0" w:space="0" w:color="auto"/>
            <w:right w:val="none" w:sz="0" w:space="0" w:color="auto"/>
          </w:divBdr>
        </w:div>
      </w:divsChild>
    </w:div>
    <w:div w:id="1600604451">
      <w:bodyDiv w:val="1"/>
      <w:marLeft w:val="0"/>
      <w:marRight w:val="0"/>
      <w:marTop w:val="0"/>
      <w:marBottom w:val="0"/>
      <w:divBdr>
        <w:top w:val="none" w:sz="0" w:space="0" w:color="auto"/>
        <w:left w:val="none" w:sz="0" w:space="0" w:color="auto"/>
        <w:bottom w:val="none" w:sz="0" w:space="0" w:color="auto"/>
        <w:right w:val="none" w:sz="0" w:space="0" w:color="auto"/>
      </w:divBdr>
      <w:divsChild>
        <w:div w:id="295719113">
          <w:marLeft w:val="547"/>
          <w:marRight w:val="0"/>
          <w:marTop w:val="125"/>
          <w:marBottom w:val="0"/>
          <w:divBdr>
            <w:top w:val="none" w:sz="0" w:space="0" w:color="auto"/>
            <w:left w:val="none" w:sz="0" w:space="0" w:color="auto"/>
            <w:bottom w:val="none" w:sz="0" w:space="0" w:color="auto"/>
            <w:right w:val="none" w:sz="0" w:space="0" w:color="auto"/>
          </w:divBdr>
        </w:div>
      </w:divsChild>
    </w:div>
    <w:div w:id="1827934424">
      <w:bodyDiv w:val="1"/>
      <w:marLeft w:val="0"/>
      <w:marRight w:val="0"/>
      <w:marTop w:val="0"/>
      <w:marBottom w:val="0"/>
      <w:divBdr>
        <w:top w:val="none" w:sz="0" w:space="0" w:color="auto"/>
        <w:left w:val="none" w:sz="0" w:space="0" w:color="auto"/>
        <w:bottom w:val="none" w:sz="0" w:space="0" w:color="auto"/>
        <w:right w:val="none" w:sz="0" w:space="0" w:color="auto"/>
      </w:divBdr>
    </w:div>
    <w:div w:id="2009942538">
      <w:bodyDiv w:val="1"/>
      <w:marLeft w:val="0"/>
      <w:marRight w:val="0"/>
      <w:marTop w:val="0"/>
      <w:marBottom w:val="0"/>
      <w:divBdr>
        <w:top w:val="none" w:sz="0" w:space="0" w:color="auto"/>
        <w:left w:val="none" w:sz="0" w:space="0" w:color="auto"/>
        <w:bottom w:val="none" w:sz="0" w:space="0" w:color="auto"/>
        <w:right w:val="none" w:sz="0" w:space="0" w:color="auto"/>
      </w:divBdr>
    </w:div>
    <w:div w:id="20837924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FA6E98-5B03-4B64-A8B6-7B632F9C4892}"/>
</file>

<file path=customXml/itemProps2.xml><?xml version="1.0" encoding="utf-8"?>
<ds:datastoreItem xmlns:ds="http://schemas.openxmlformats.org/officeDocument/2006/customXml" ds:itemID="{F43ED586-7562-4D60-9105-6F0FAEE773C3}"/>
</file>

<file path=customXml/itemProps3.xml><?xml version="1.0" encoding="utf-8"?>
<ds:datastoreItem xmlns:ds="http://schemas.openxmlformats.org/officeDocument/2006/customXml" ds:itemID="{EE50A3DF-212C-48CC-AFEE-F050C6F6CD5A}"/>
</file>

<file path=docProps/app.xml><?xml version="1.0" encoding="utf-8"?>
<Properties xmlns="http://schemas.openxmlformats.org/officeDocument/2006/extended-properties" xmlns:vt="http://schemas.openxmlformats.org/officeDocument/2006/docPropsVTypes">
  <Template>Normal.dotm</Template>
  <TotalTime>13</TotalTime>
  <Pages>10</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Jobs for the Future</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Kaplowitz</dc:creator>
  <cp:lastModifiedBy>Baker, Michael</cp:lastModifiedBy>
  <cp:revision>5</cp:revision>
  <cp:lastPrinted>2014-09-30T20:32:00Z</cp:lastPrinted>
  <dcterms:created xsi:type="dcterms:W3CDTF">2021-01-19T20:52:00Z</dcterms:created>
  <dcterms:modified xsi:type="dcterms:W3CDTF">2021-01-19T21:01:00Z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