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6C720" w14:textId="77777777" w:rsidR="00132B27" w:rsidRPr="00FC4B14" w:rsidRDefault="00132B27" w:rsidP="00132B27">
      <w:pPr>
        <w:pStyle w:val="NoSpacing"/>
        <w:rPr>
          <w:rFonts w:ascii="Arial" w:hAnsi="Arial" w:cs="Arial"/>
          <w:b/>
          <w:bCs/>
          <w:sz w:val="20"/>
          <w:szCs w:val="20"/>
        </w:rPr>
      </w:pPr>
      <w:r w:rsidRPr="00FC4B14">
        <w:rPr>
          <w:rFonts w:ascii="Arial" w:hAnsi="Arial" w:cs="Arial"/>
          <w:b/>
          <w:bCs/>
          <w:sz w:val="20"/>
          <w:szCs w:val="20"/>
        </w:rPr>
        <w:t xml:space="preserve">APPENDIX </w:t>
      </w:r>
      <w:r>
        <w:rPr>
          <w:rFonts w:ascii="Arial" w:hAnsi="Arial" w:cs="Arial"/>
          <w:b/>
          <w:bCs/>
          <w:sz w:val="20"/>
          <w:szCs w:val="20"/>
        </w:rPr>
        <w:t>K</w:t>
      </w:r>
      <w:r w:rsidRPr="00FC4B14">
        <w:rPr>
          <w:rFonts w:ascii="Arial" w:hAnsi="Arial" w:cs="Arial"/>
          <w:b/>
          <w:bCs/>
          <w:sz w:val="20"/>
          <w:szCs w:val="20"/>
        </w:rPr>
        <w:t>:  Workforce Innovation and Opportunity Act – Performance Measures</w:t>
      </w:r>
    </w:p>
    <w:p w14:paraId="45C20FC9" w14:textId="77777777" w:rsidR="00132B27" w:rsidRDefault="00132B27" w:rsidP="00132B27">
      <w:pPr>
        <w:pStyle w:val="NoSpacing"/>
        <w:rPr>
          <w:rStyle w:val="Hyperlink"/>
          <w:rFonts w:cs="Arial"/>
          <w:sz w:val="20"/>
          <w:szCs w:val="20"/>
        </w:rPr>
      </w:pPr>
      <w:r w:rsidRPr="00FC4B14">
        <w:rPr>
          <w:rFonts w:ascii="Arial" w:hAnsi="Arial" w:cs="Arial"/>
          <w:sz w:val="20"/>
          <w:szCs w:val="20"/>
        </w:rPr>
        <w:t>Section 116 of WIOA establishes performance accountability indicators and performance reporting requirements to assess the effectiveness of States and local areas in achieving positive outcomes for individuals served by the workforce development Adult, Dislocated Worker, and Youth.  Training and Employment Guidance Letter 10-16, Change #1 provides the regulatory guidance that set forth requirements, related to the implementation and operation of the performance accountability system.  U.S. Departments of Labor (DOL) and Education (ED) jointly developed aligned definitions of the primary indicators of performance which were finalized in August 2016</w:t>
      </w:r>
      <w:r>
        <w:rPr>
          <w:rFonts w:ascii="Arial" w:hAnsi="Arial" w:cs="Arial"/>
          <w:sz w:val="20"/>
          <w:szCs w:val="20"/>
        </w:rPr>
        <w:t>.</w:t>
      </w:r>
      <w:r w:rsidRPr="00FC4B14">
        <w:rPr>
          <w:rFonts w:ascii="Arial" w:hAnsi="Arial" w:cs="Arial"/>
          <w:sz w:val="20"/>
          <w:szCs w:val="20"/>
        </w:rPr>
        <w:t xml:space="preserve"> </w:t>
      </w:r>
      <w:r>
        <w:rPr>
          <w:rFonts w:ascii="Arial" w:hAnsi="Arial" w:cs="Arial"/>
          <w:sz w:val="20"/>
          <w:szCs w:val="20"/>
        </w:rPr>
        <w:t>U</w:t>
      </w:r>
      <w:r w:rsidRPr="00FC4B14">
        <w:rPr>
          <w:rFonts w:ascii="Arial" w:hAnsi="Arial" w:cs="Arial"/>
          <w:sz w:val="20"/>
          <w:szCs w:val="20"/>
        </w:rPr>
        <w:t xml:space="preserve">nder section 116(b)(2)(A) of WIOA, there are six primary indicators of performance listed below.  For more information see </w:t>
      </w:r>
      <w:hyperlink r:id="rId8" w:history="1">
        <w:r w:rsidRPr="00FC4B14">
          <w:rPr>
            <w:rStyle w:val="Hyperlink"/>
            <w:rFonts w:cs="Arial"/>
            <w:sz w:val="20"/>
            <w:szCs w:val="20"/>
          </w:rPr>
          <w:t>https://wdr.doleta.gov/directives/attach/TEGL/TEGL_10-16-Change1.pdf</w:t>
        </w:r>
      </w:hyperlink>
    </w:p>
    <w:p w14:paraId="40E460EB" w14:textId="77777777" w:rsidR="00132B27" w:rsidRPr="00FC4B14" w:rsidRDefault="00132B27" w:rsidP="00132B27">
      <w:pPr>
        <w:pStyle w:val="NoSpacing"/>
        <w:rPr>
          <w:rStyle w:val="Hyperlink"/>
          <w:rFonts w:cs="Arial"/>
          <w:sz w:val="20"/>
          <w:szCs w:val="20"/>
        </w:rPr>
      </w:pPr>
    </w:p>
    <w:tbl>
      <w:tblPr>
        <w:tblStyle w:val="PlainTable5"/>
        <w:tblW w:w="0" w:type="auto"/>
        <w:jc w:val="center"/>
        <w:tblInd w:w="0" w:type="dxa"/>
        <w:tblLook w:val="04A0" w:firstRow="1" w:lastRow="0" w:firstColumn="1" w:lastColumn="0" w:noHBand="0" w:noVBand="1"/>
      </w:tblPr>
      <w:tblGrid>
        <w:gridCol w:w="2070"/>
        <w:gridCol w:w="7290"/>
      </w:tblGrid>
      <w:tr w:rsidR="00132B27" w:rsidRPr="00021FA5" w14:paraId="4DCA4492" w14:textId="77777777" w:rsidTr="00F603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il"/>
              <w:left w:val="nil"/>
            </w:tcBorders>
            <w:hideMark/>
          </w:tcPr>
          <w:p w14:paraId="1466FB7A" w14:textId="77777777" w:rsidR="00132B27" w:rsidRPr="00B04910" w:rsidRDefault="00132B27" w:rsidP="00F603B5">
            <w:pPr>
              <w:pStyle w:val="Heading2"/>
              <w:numPr>
                <w:ilvl w:val="0"/>
                <w:numId w:val="0"/>
              </w:numPr>
              <w:ind w:left="360"/>
              <w:jc w:val="left"/>
              <w:outlineLvl w:val="1"/>
              <w:rPr>
                <w:sz w:val="20"/>
                <w:szCs w:val="20"/>
              </w:rPr>
            </w:pPr>
          </w:p>
        </w:tc>
      </w:tr>
      <w:tr w:rsidR="00132B27" w:rsidRPr="00021FA5" w14:paraId="37352B4D" w14:textId="77777777" w:rsidTr="00F603B5">
        <w:trPr>
          <w:cnfStyle w:val="000000100000" w:firstRow="0" w:lastRow="0" w:firstColumn="0" w:lastColumn="0" w:oddVBand="0" w:evenVBand="0" w:oddHBand="1" w:evenHBand="0" w:firstRowFirstColumn="0" w:firstRowLastColumn="0" w:lastRowFirstColumn="0" w:lastRowLastColumn="0"/>
          <w:trHeight w:val="1367"/>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63B5794B" w14:textId="77777777" w:rsidR="00132B27" w:rsidRPr="00FC4B14" w:rsidRDefault="00132B27" w:rsidP="00F603B5">
            <w:pPr>
              <w:rPr>
                <w:rFonts w:ascii="Arial" w:hAnsi="Arial" w:cs="Arial"/>
                <w:sz w:val="18"/>
                <w:szCs w:val="18"/>
              </w:rPr>
            </w:pPr>
            <w:r w:rsidRPr="00FC4B14">
              <w:rPr>
                <w:rFonts w:ascii="Arial" w:hAnsi="Arial" w:cs="Arial"/>
                <w:sz w:val="18"/>
                <w:szCs w:val="18"/>
              </w:rPr>
              <w:t>Employment Rate 2nd Quarter After Exit</w:t>
            </w:r>
          </w:p>
          <w:p w14:paraId="43FB0D6F" w14:textId="77777777" w:rsidR="00132B27" w:rsidRPr="00FC4B14" w:rsidRDefault="00132B27" w:rsidP="00F603B5">
            <w:pPr>
              <w:rPr>
                <w:rFonts w:ascii="Arial" w:hAnsi="Arial" w:cs="Arial"/>
                <w:sz w:val="18"/>
                <w:szCs w:val="18"/>
              </w:rPr>
            </w:pPr>
          </w:p>
        </w:tc>
        <w:tc>
          <w:tcPr>
            <w:tcW w:w="7290" w:type="dxa"/>
          </w:tcPr>
          <w:p w14:paraId="113F3757"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4B14">
              <w:rPr>
                <w:rFonts w:ascii="Arial" w:hAnsi="Arial" w:cs="Arial"/>
                <w:sz w:val="18"/>
                <w:szCs w:val="18"/>
              </w:rPr>
              <w:t xml:space="preserve">The percentage of participants who are in unsubsidized employment during the second quarter after exit from the program. </w:t>
            </w:r>
          </w:p>
          <w:p w14:paraId="413ABA2E"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5054BAF"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4B14">
              <w:rPr>
                <w:rFonts w:ascii="Arial" w:hAnsi="Arial" w:cs="Arial"/>
                <w:sz w:val="18"/>
                <w:szCs w:val="18"/>
              </w:rPr>
              <w:t>The percentage of Title I Youth program participants who are in education or training activities, or in unsubsidized employment, during the second quarter after exit from the program.</w:t>
            </w:r>
          </w:p>
        </w:tc>
      </w:tr>
      <w:tr w:rsidR="00132B27" w:rsidRPr="00021FA5" w14:paraId="76C80C50" w14:textId="77777777" w:rsidTr="00F603B5">
        <w:trPr>
          <w:trHeight w:val="1188"/>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0DCB01B1" w14:textId="77777777" w:rsidR="00132B27" w:rsidRPr="00FC4B14" w:rsidRDefault="00132B27" w:rsidP="00F603B5">
            <w:pPr>
              <w:rPr>
                <w:rFonts w:ascii="Arial" w:hAnsi="Arial" w:cs="Arial"/>
                <w:sz w:val="18"/>
                <w:szCs w:val="18"/>
              </w:rPr>
            </w:pPr>
            <w:r w:rsidRPr="00FC4B14">
              <w:rPr>
                <w:rFonts w:ascii="Arial" w:hAnsi="Arial" w:cs="Arial"/>
                <w:sz w:val="18"/>
                <w:szCs w:val="18"/>
              </w:rPr>
              <w:t>Employment Rate 4th Quarter After Exit</w:t>
            </w:r>
          </w:p>
          <w:p w14:paraId="400C992D" w14:textId="77777777" w:rsidR="00132B27" w:rsidRPr="00FC4B14" w:rsidRDefault="00132B27" w:rsidP="00F603B5">
            <w:pPr>
              <w:rPr>
                <w:rFonts w:ascii="Arial" w:hAnsi="Arial" w:cs="Arial"/>
                <w:sz w:val="18"/>
                <w:szCs w:val="18"/>
              </w:rPr>
            </w:pPr>
          </w:p>
        </w:tc>
        <w:tc>
          <w:tcPr>
            <w:tcW w:w="7290" w:type="dxa"/>
          </w:tcPr>
          <w:p w14:paraId="3E5D1DD4"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The percentage of participants who are in unsubsidized employment during the fourth quarter after exit from the program</w:t>
            </w:r>
          </w:p>
          <w:p w14:paraId="6FC6ABF9"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0" w:name="_GoBack"/>
            <w:bookmarkEnd w:id="0"/>
            <w:r w:rsidRPr="00FC4B14">
              <w:rPr>
                <w:rFonts w:ascii="Arial" w:hAnsi="Arial" w:cs="Arial"/>
                <w:sz w:val="18"/>
                <w:szCs w:val="18"/>
              </w:rPr>
              <w:t>The percentage of Title I Youth, the indicator is the percentage of participants in education or training activities, or in unsubsidized employment during the fourth quarter after exit from the program.</w:t>
            </w:r>
          </w:p>
          <w:p w14:paraId="33C063F9"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32B27" w:rsidRPr="00021FA5" w14:paraId="2B413614" w14:textId="77777777" w:rsidTr="00F603B5">
        <w:trPr>
          <w:cnfStyle w:val="000000100000" w:firstRow="0" w:lastRow="0" w:firstColumn="0" w:lastColumn="0" w:oddVBand="0" w:evenVBand="0" w:oddHBand="1" w:evenHBand="0" w:firstRowFirstColumn="0" w:firstRowLastColumn="0" w:lastRowFirstColumn="0" w:lastRowLastColumn="0"/>
          <w:trHeight w:val="747"/>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738D567D" w14:textId="77777777" w:rsidR="00132B27" w:rsidRPr="00FC4B14" w:rsidRDefault="00132B27" w:rsidP="00F603B5">
            <w:pPr>
              <w:rPr>
                <w:rFonts w:ascii="Arial" w:hAnsi="Arial" w:cs="Arial"/>
                <w:sz w:val="18"/>
                <w:szCs w:val="18"/>
              </w:rPr>
            </w:pPr>
            <w:r w:rsidRPr="00FC4B14">
              <w:rPr>
                <w:rFonts w:ascii="Arial" w:hAnsi="Arial" w:cs="Arial"/>
                <w:sz w:val="18"/>
                <w:szCs w:val="18"/>
              </w:rPr>
              <w:t>Median Earnings 2nd Quarter After Exit</w:t>
            </w:r>
          </w:p>
          <w:p w14:paraId="103BFC50" w14:textId="77777777" w:rsidR="00132B27" w:rsidRPr="00FC4B14" w:rsidRDefault="00132B27" w:rsidP="00F603B5">
            <w:pPr>
              <w:rPr>
                <w:rFonts w:ascii="Arial" w:hAnsi="Arial" w:cs="Arial"/>
                <w:sz w:val="18"/>
                <w:szCs w:val="18"/>
              </w:rPr>
            </w:pPr>
          </w:p>
        </w:tc>
        <w:tc>
          <w:tcPr>
            <w:tcW w:w="7290" w:type="dxa"/>
            <w:hideMark/>
          </w:tcPr>
          <w:p w14:paraId="684B4920"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4B14">
              <w:rPr>
                <w:rFonts w:ascii="Arial" w:hAnsi="Arial" w:cs="Arial"/>
                <w:sz w:val="18"/>
                <w:szCs w:val="18"/>
              </w:rPr>
              <w:t>The median earnings of participants who are in unsubsidized employment during the second quarter after exit from the program</w:t>
            </w:r>
          </w:p>
        </w:tc>
      </w:tr>
      <w:tr w:rsidR="00132B27" w:rsidRPr="00021FA5" w14:paraId="2DAC2BAC" w14:textId="77777777" w:rsidTr="00F603B5">
        <w:trPr>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7FC474DA" w14:textId="77777777" w:rsidR="00132B27" w:rsidRPr="00FC4B14" w:rsidRDefault="00132B27" w:rsidP="00F603B5">
            <w:pPr>
              <w:rPr>
                <w:rFonts w:ascii="Arial" w:hAnsi="Arial" w:cs="Arial"/>
                <w:sz w:val="18"/>
                <w:szCs w:val="18"/>
              </w:rPr>
            </w:pPr>
            <w:r w:rsidRPr="00FC4B14">
              <w:rPr>
                <w:rFonts w:ascii="Arial" w:hAnsi="Arial" w:cs="Arial"/>
                <w:sz w:val="18"/>
                <w:szCs w:val="18"/>
              </w:rPr>
              <w:t>Credential Attainment</w:t>
            </w:r>
          </w:p>
          <w:p w14:paraId="2EC3DC5D" w14:textId="77777777" w:rsidR="00132B27" w:rsidRPr="00FC4B14" w:rsidRDefault="00132B27" w:rsidP="00F603B5">
            <w:pPr>
              <w:rPr>
                <w:rFonts w:ascii="Arial" w:hAnsi="Arial" w:cs="Arial"/>
                <w:sz w:val="18"/>
                <w:szCs w:val="18"/>
              </w:rPr>
            </w:pPr>
          </w:p>
        </w:tc>
        <w:tc>
          <w:tcPr>
            <w:tcW w:w="7290" w:type="dxa"/>
          </w:tcPr>
          <w:p w14:paraId="2AE9975B"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14:paraId="5E60410B"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32B27" w:rsidRPr="00021FA5" w14:paraId="796B8E98" w14:textId="77777777" w:rsidTr="00F60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411435CF" w14:textId="77777777" w:rsidR="00132B27" w:rsidRPr="00FC4B14" w:rsidRDefault="00132B27" w:rsidP="00F603B5">
            <w:pPr>
              <w:rPr>
                <w:rFonts w:ascii="Arial" w:hAnsi="Arial" w:cs="Arial"/>
                <w:sz w:val="18"/>
                <w:szCs w:val="18"/>
              </w:rPr>
            </w:pPr>
            <w:r w:rsidRPr="00FC4B14">
              <w:rPr>
                <w:rFonts w:ascii="Arial" w:hAnsi="Arial" w:cs="Arial"/>
                <w:sz w:val="18"/>
                <w:szCs w:val="18"/>
              </w:rPr>
              <w:t>Measurable Skill Gains</w:t>
            </w:r>
          </w:p>
          <w:p w14:paraId="3F611540" w14:textId="77777777" w:rsidR="00132B27" w:rsidRPr="00FC4B14" w:rsidRDefault="00132B27" w:rsidP="00F603B5">
            <w:pPr>
              <w:rPr>
                <w:rFonts w:ascii="Arial" w:hAnsi="Arial" w:cs="Arial"/>
                <w:sz w:val="18"/>
                <w:szCs w:val="18"/>
              </w:rPr>
            </w:pPr>
          </w:p>
        </w:tc>
        <w:tc>
          <w:tcPr>
            <w:tcW w:w="7290" w:type="dxa"/>
          </w:tcPr>
          <w:p w14:paraId="0A7903EE"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4B14">
              <w:rPr>
                <w:rFonts w:ascii="Arial" w:hAnsi="Arial" w:cs="Arial"/>
                <w:sz w:val="18"/>
                <w:szCs w:val="18"/>
              </w:rPr>
              <w:t>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14:paraId="5F988678" w14:textId="77777777" w:rsidR="00132B27" w:rsidRPr="00FC4B14" w:rsidRDefault="00132B27" w:rsidP="00F603B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32B27" w:rsidRPr="00021FA5" w14:paraId="7AEFBF5D" w14:textId="77777777" w:rsidTr="00F603B5">
        <w:trPr>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tcBorders>
          </w:tcPr>
          <w:p w14:paraId="2E4A57BA" w14:textId="77777777" w:rsidR="00132B27" w:rsidRPr="00FC4B14" w:rsidRDefault="00132B27" w:rsidP="00F603B5">
            <w:pPr>
              <w:rPr>
                <w:rFonts w:ascii="Arial" w:hAnsi="Arial" w:cs="Arial"/>
                <w:sz w:val="18"/>
                <w:szCs w:val="18"/>
              </w:rPr>
            </w:pPr>
            <w:r w:rsidRPr="00FC4B14">
              <w:rPr>
                <w:rFonts w:ascii="Arial" w:hAnsi="Arial" w:cs="Arial"/>
                <w:sz w:val="18"/>
                <w:szCs w:val="18"/>
              </w:rPr>
              <w:lastRenderedPageBreak/>
              <w:t>Effectiveness in Serving Employers</w:t>
            </w:r>
          </w:p>
          <w:p w14:paraId="751453CF" w14:textId="77777777" w:rsidR="00132B27" w:rsidRPr="00FC4B14" w:rsidRDefault="00132B27" w:rsidP="00F603B5">
            <w:pPr>
              <w:rPr>
                <w:rFonts w:ascii="Arial" w:hAnsi="Arial" w:cs="Arial"/>
                <w:sz w:val="18"/>
                <w:szCs w:val="18"/>
              </w:rPr>
            </w:pPr>
          </w:p>
        </w:tc>
        <w:tc>
          <w:tcPr>
            <w:tcW w:w="7290" w:type="dxa"/>
            <w:hideMark/>
          </w:tcPr>
          <w:p w14:paraId="27E012DA"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 xml:space="preserve">Effectiveness in Serving Employers: WIOA sec. 116(b)(2)(A)(i)(VI) requires the Departments to establish a primary indicator of performance for effectiveness in serving employers. The Departments are piloting three approaches designed to gauge three critical workforce needs of the business community. </w:t>
            </w:r>
          </w:p>
          <w:p w14:paraId="5A400957"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 xml:space="preserve">Approach 1 - Retention with the same employer </w:t>
            </w:r>
          </w:p>
          <w:p w14:paraId="65B327C5"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 xml:space="preserve">Approach 2 - Repeat Business Customers </w:t>
            </w:r>
          </w:p>
          <w:p w14:paraId="25099040" w14:textId="77777777" w:rsidR="00132B27" w:rsidRPr="00FC4B14" w:rsidRDefault="00132B27" w:rsidP="00F603B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4B14">
              <w:rPr>
                <w:rFonts w:ascii="Arial" w:hAnsi="Arial" w:cs="Arial"/>
                <w:sz w:val="18"/>
                <w:szCs w:val="18"/>
              </w:rPr>
              <w:t>Approach 3 - Employer Penetration Rate.</w:t>
            </w:r>
          </w:p>
        </w:tc>
      </w:tr>
    </w:tbl>
    <w:p w14:paraId="3A00F8F8" w14:textId="77777777" w:rsidR="00904DAF" w:rsidRDefault="00904DAF"/>
    <w:sectPr w:rsidR="0090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07245"/>
    <w:multiLevelType w:val="multilevel"/>
    <w:tmpl w:val="8A9C17AA"/>
    <w:lvl w:ilvl="0">
      <w:start w:val="1"/>
      <w:numFmt w:val="upperLetter"/>
      <w:pStyle w:val="Heading2"/>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27"/>
    <w:rsid w:val="00132B27"/>
    <w:rsid w:val="004A7F0D"/>
    <w:rsid w:val="006F0DE7"/>
    <w:rsid w:val="009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C04C"/>
  <w15:chartTrackingRefBased/>
  <w15:docId w15:val="{E69FBEE7-72E5-4961-9109-9BA747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27"/>
    <w:pPr>
      <w:spacing w:after="200" w:line="276" w:lineRule="auto"/>
    </w:pPr>
  </w:style>
  <w:style w:type="paragraph" w:styleId="Heading2">
    <w:name w:val="heading 2"/>
    <w:basedOn w:val="Normal"/>
    <w:next w:val="Normal"/>
    <w:link w:val="Heading2Char"/>
    <w:uiPriority w:val="9"/>
    <w:unhideWhenUsed/>
    <w:qFormat/>
    <w:rsid w:val="00132B27"/>
    <w:pPr>
      <w:keepNext/>
      <w:keepLines/>
      <w:numPr>
        <w:numId w:val="1"/>
      </w:numPr>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B27"/>
    <w:rPr>
      <w:rFonts w:ascii="Arial" w:eastAsiaTheme="majorEastAsia" w:hAnsi="Arial" w:cstheme="majorBidi"/>
      <w:b/>
      <w:bCs/>
      <w:sz w:val="26"/>
      <w:szCs w:val="26"/>
    </w:rPr>
  </w:style>
  <w:style w:type="character" w:styleId="Hyperlink">
    <w:name w:val="Hyperlink"/>
    <w:basedOn w:val="DefaultParagraphFont"/>
    <w:uiPriority w:val="99"/>
    <w:unhideWhenUsed/>
    <w:rsid w:val="00132B27"/>
    <w:rPr>
      <w:color w:val="0563C1" w:themeColor="hyperlink"/>
      <w:u w:val="single"/>
    </w:rPr>
  </w:style>
  <w:style w:type="paragraph" w:styleId="NoSpacing">
    <w:name w:val="No Spacing"/>
    <w:link w:val="NoSpacingChar"/>
    <w:uiPriority w:val="1"/>
    <w:qFormat/>
    <w:rsid w:val="00132B27"/>
    <w:pPr>
      <w:spacing w:after="0" w:line="240" w:lineRule="auto"/>
    </w:pPr>
  </w:style>
  <w:style w:type="character" w:customStyle="1" w:styleId="NoSpacingChar">
    <w:name w:val="No Spacing Char"/>
    <w:link w:val="NoSpacing"/>
    <w:uiPriority w:val="1"/>
    <w:rsid w:val="00132B27"/>
  </w:style>
  <w:style w:type="table" w:styleId="PlainTable5">
    <w:name w:val="Plain Table 5"/>
    <w:basedOn w:val="TableNormal"/>
    <w:uiPriority w:val="45"/>
    <w:rsid w:val="00132B27"/>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dr.doleta.gov/directives/attach/TEGL/TEGL_10-16-Change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9E97EA-BCE4-4120-BF03-9914316E2F3F}"/>
</file>

<file path=customXml/itemProps2.xml><?xml version="1.0" encoding="utf-8"?>
<ds:datastoreItem xmlns:ds="http://schemas.openxmlformats.org/officeDocument/2006/customXml" ds:itemID="{8DA475C0-B21B-4DCF-B979-DBBFE478FA25}">
  <ds:schemaRefs>
    <ds:schemaRef ds:uri="http://schemas.microsoft.com/sharepoint/v3/contenttype/forms"/>
  </ds:schemaRefs>
</ds:datastoreItem>
</file>

<file path=customXml/itemProps3.xml><?xml version="1.0" encoding="utf-8"?>
<ds:datastoreItem xmlns:ds="http://schemas.openxmlformats.org/officeDocument/2006/customXml" ds:itemID="{C6B064CC-FBF7-488B-841F-571E0D0582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3</cp:revision>
  <dcterms:created xsi:type="dcterms:W3CDTF">2021-06-24T18:56:00Z</dcterms:created>
  <dcterms:modified xsi:type="dcterms:W3CDTF">2021-06-24T18:56:00Z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