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3B56B" w14:textId="77777777" w:rsidR="0040695E" w:rsidRDefault="0040695E" w:rsidP="0040695E">
      <w:pPr>
        <w:pStyle w:val="Heading1"/>
        <w:jc w:val="center"/>
      </w:pPr>
      <w:bookmarkStart w:id="0" w:name="_Toc55474397"/>
      <w:bookmarkStart w:id="1" w:name="_Toc55474562"/>
      <w:bookmarkStart w:id="2" w:name="_Toc55474983"/>
      <w:bookmarkStart w:id="3" w:name="_Toc55479438"/>
      <w:bookmarkStart w:id="4" w:name="_Toc55979755"/>
      <w:r>
        <w:t>APPENDIX C - Federal Funding Workforce Grants Definitions</w:t>
      </w:r>
      <w:bookmarkEnd w:id="0"/>
      <w:bookmarkEnd w:id="1"/>
      <w:bookmarkEnd w:id="2"/>
      <w:bookmarkEnd w:id="3"/>
      <w:bookmarkEnd w:id="4"/>
    </w:p>
    <w:p w14:paraId="1933B3E6" w14:textId="77777777" w:rsidR="0040695E" w:rsidRDefault="0040695E" w:rsidP="0040695E">
      <w:pPr>
        <w:spacing w:after="0"/>
        <w:ind w:right="40" w:firstLine="10"/>
      </w:pPr>
    </w:p>
    <w:p w14:paraId="6F8932ED" w14:textId="77777777" w:rsidR="0040695E" w:rsidRDefault="0040695E" w:rsidP="0040695E">
      <w:pPr>
        <w:spacing w:after="0"/>
        <w:ind w:right="40" w:firstLine="10"/>
      </w:pPr>
      <w:r>
        <w:t xml:space="preserve">The following are standard definitions used in administering the federal funding workforce grants, including the Youth Career Pathways Initiative. </w:t>
      </w:r>
    </w:p>
    <w:p w14:paraId="7D73AD06" w14:textId="77777777" w:rsidR="0040695E" w:rsidRDefault="0040695E" w:rsidP="0040695E">
      <w:pPr>
        <w:spacing w:after="0" w:line="259" w:lineRule="auto"/>
        <w:ind w:left="0"/>
      </w:pPr>
      <w:r>
        <w:t xml:space="preserve"> </w:t>
      </w:r>
    </w:p>
    <w:p w14:paraId="59C1B3FE" w14:textId="77777777" w:rsidR="0040695E" w:rsidRDefault="0040695E" w:rsidP="0040695E">
      <w:pPr>
        <w:spacing w:after="0"/>
        <w:ind w:left="0" w:right="40"/>
        <w:jc w:val="both"/>
        <w:rPr>
          <w:b w:val="0"/>
        </w:rPr>
      </w:pPr>
      <w:r>
        <w:rPr>
          <w:i/>
        </w:rPr>
        <w:t>Bridge/ICAPS Models:</w:t>
      </w:r>
      <w:r>
        <w:t xml:space="preserve"> </w:t>
      </w:r>
      <w:r>
        <w:rPr>
          <w:b w:val="0"/>
        </w:rPr>
        <w:t xml:space="preserve">Bridge programs are instructional basic skill programs designed to upgrade skill levels of students using three elements:  contextualization, career awareness/development, and transition services.  The ICAPS model is a blend of Career and Technical Education (CTE) and adult education in an integrated delivery model designed to accelerate the completion of both education and technical training. </w:t>
      </w:r>
    </w:p>
    <w:p w14:paraId="7722F801" w14:textId="77777777" w:rsidR="0040695E" w:rsidRDefault="0040695E" w:rsidP="0040695E">
      <w:pPr>
        <w:spacing w:after="0"/>
        <w:ind w:left="0" w:right="40"/>
        <w:jc w:val="both"/>
        <w:rPr>
          <w:b w:val="0"/>
        </w:rPr>
      </w:pPr>
    </w:p>
    <w:p w14:paraId="13912B50" w14:textId="77777777" w:rsidR="0040695E" w:rsidRDefault="0040695E" w:rsidP="0040695E">
      <w:pPr>
        <w:ind w:left="0" w:right="40"/>
        <w:jc w:val="both"/>
        <w:rPr>
          <w:b w:val="0"/>
        </w:rPr>
      </w:pPr>
      <w:r>
        <w:rPr>
          <w:i/>
        </w:rPr>
        <w:t>Career Pathway:</w:t>
      </w:r>
      <w:r>
        <w:rPr>
          <w:b w:val="0"/>
          <w:i/>
        </w:rPr>
        <w:t xml:space="preserve"> </w:t>
      </w:r>
      <w:r>
        <w:rPr>
          <w:b w:val="0"/>
        </w:rPr>
        <w:t xml:space="preserve">As defined in the (Workforce Innovation and Opportunity Act) means a combination of rigorous and high-quality education, training, and other services that </w:t>
      </w:r>
    </w:p>
    <w:p w14:paraId="433753BC" w14:textId="77777777" w:rsidR="0040695E" w:rsidRDefault="0040695E" w:rsidP="0040695E">
      <w:pPr>
        <w:numPr>
          <w:ilvl w:val="0"/>
          <w:numId w:val="2"/>
        </w:numPr>
        <w:ind w:right="40"/>
        <w:jc w:val="both"/>
      </w:pPr>
      <w:r>
        <w:rPr>
          <w:b w:val="0"/>
        </w:rPr>
        <w:t xml:space="preserve">Align with the skill needs of industries in the economy of the State or regional economy involved;  </w:t>
      </w:r>
    </w:p>
    <w:p w14:paraId="3C942B90" w14:textId="77777777" w:rsidR="0040695E" w:rsidRDefault="0040695E" w:rsidP="0040695E">
      <w:pPr>
        <w:numPr>
          <w:ilvl w:val="0"/>
          <w:numId w:val="2"/>
        </w:numPr>
        <w:spacing w:after="0"/>
        <w:ind w:right="40"/>
        <w:jc w:val="both"/>
      </w:pPr>
      <w:r>
        <w:rPr>
          <w:b w:val="0"/>
        </w:rPr>
        <w:t xml:space="preserve">Prepares an individual to be successful in any of a full range of secondary or postsecondary education options, including apprenticeships registered under the Act of August 16, 1937 (commonly known as the ‘‘National Apprenticeship Act’’; 50 Stat. 664, chapter 663; 29 U.S.C. </w:t>
      </w:r>
    </w:p>
    <w:p w14:paraId="1B580C1B" w14:textId="77777777" w:rsidR="0040695E" w:rsidRDefault="0040695E" w:rsidP="0040695E">
      <w:pPr>
        <w:spacing w:after="24" w:line="259" w:lineRule="auto"/>
        <w:ind w:left="0" w:right="55"/>
        <w:jc w:val="both"/>
        <w:rPr>
          <w:b w:val="0"/>
        </w:rPr>
      </w:pPr>
      <w:r>
        <w:rPr>
          <w:b w:val="0"/>
        </w:rPr>
        <w:t xml:space="preserve">       50 et seq.) (referred to individually in this Act as an ‘‘apprenticeship’’, except in section 171);  </w:t>
      </w:r>
    </w:p>
    <w:p w14:paraId="1BD524A7" w14:textId="77777777" w:rsidR="0040695E" w:rsidRDefault="0040695E" w:rsidP="0040695E">
      <w:pPr>
        <w:numPr>
          <w:ilvl w:val="0"/>
          <w:numId w:val="2"/>
        </w:numPr>
        <w:ind w:right="40"/>
        <w:jc w:val="both"/>
      </w:pPr>
      <w:r>
        <w:rPr>
          <w:b w:val="0"/>
        </w:rPr>
        <w:t xml:space="preserve">Includes counseling to support an individual in achieving the individual’s education and career goals;  </w:t>
      </w:r>
    </w:p>
    <w:p w14:paraId="5AEBE106" w14:textId="77777777" w:rsidR="0040695E" w:rsidRDefault="0040695E" w:rsidP="0040695E">
      <w:pPr>
        <w:numPr>
          <w:ilvl w:val="0"/>
          <w:numId w:val="2"/>
        </w:numPr>
        <w:ind w:right="40"/>
        <w:jc w:val="both"/>
      </w:pPr>
      <w:r>
        <w:rPr>
          <w:b w:val="0"/>
        </w:rPr>
        <w:t xml:space="preserve">Includes, as appropriate, education offered concurrently with and in the same context as workforce preparation activities and training for a specific occupation or occupational cluster;  </w:t>
      </w:r>
    </w:p>
    <w:p w14:paraId="26249286" w14:textId="77777777" w:rsidR="0040695E" w:rsidRDefault="0040695E" w:rsidP="0040695E">
      <w:pPr>
        <w:numPr>
          <w:ilvl w:val="0"/>
          <w:numId w:val="2"/>
        </w:numPr>
        <w:ind w:right="40"/>
        <w:jc w:val="both"/>
      </w:pPr>
      <w:r>
        <w:rPr>
          <w:b w:val="0"/>
        </w:rPr>
        <w:t xml:space="preserve">Organizes education, training, and other services to meet the needs of an individual in a manner that accelerates the educational and career advancement of the individual to the extent practicable;  </w:t>
      </w:r>
    </w:p>
    <w:p w14:paraId="6415F55F" w14:textId="77777777" w:rsidR="0040695E" w:rsidRDefault="0040695E" w:rsidP="0040695E">
      <w:pPr>
        <w:numPr>
          <w:ilvl w:val="0"/>
          <w:numId w:val="2"/>
        </w:numPr>
        <w:ind w:right="40"/>
        <w:jc w:val="both"/>
      </w:pPr>
      <w:r>
        <w:rPr>
          <w:b w:val="0"/>
        </w:rPr>
        <w:t xml:space="preserve">Enables an individual to attain a secondary school diploma or its recognized equivalent, and at least 1 recognized postsecondary credential; and  </w:t>
      </w:r>
    </w:p>
    <w:p w14:paraId="39731D6C" w14:textId="77777777" w:rsidR="0040695E" w:rsidRDefault="0040695E" w:rsidP="0040695E">
      <w:pPr>
        <w:numPr>
          <w:ilvl w:val="0"/>
          <w:numId w:val="2"/>
        </w:numPr>
        <w:ind w:right="40"/>
        <w:jc w:val="both"/>
      </w:pPr>
      <w:r>
        <w:rPr>
          <w:b w:val="0"/>
        </w:rPr>
        <w:t xml:space="preserve">Helps an individual enter or advance within a specific occupation or occupational cluster. </w:t>
      </w:r>
    </w:p>
    <w:p w14:paraId="103C7EE5" w14:textId="77777777" w:rsidR="0040695E" w:rsidRDefault="0040695E" w:rsidP="0040695E">
      <w:pPr>
        <w:spacing w:after="0" w:line="259" w:lineRule="auto"/>
        <w:ind w:left="360"/>
      </w:pPr>
      <w:r>
        <w:rPr>
          <w:i/>
        </w:rPr>
        <w:t xml:space="preserve"> </w:t>
      </w:r>
    </w:p>
    <w:p w14:paraId="7BDCD5AE" w14:textId="77777777" w:rsidR="0040695E" w:rsidRDefault="0040695E" w:rsidP="0040695E">
      <w:pPr>
        <w:spacing w:after="0"/>
        <w:ind w:left="0" w:right="43"/>
        <w:jc w:val="both"/>
        <w:rPr>
          <w:b w:val="0"/>
        </w:rPr>
      </w:pPr>
      <w:r>
        <w:rPr>
          <w:i/>
        </w:rPr>
        <w:t>Eligible Training Provider:</w:t>
      </w:r>
      <w:r>
        <w:t xml:space="preserve"> </w:t>
      </w:r>
      <w:r>
        <w:rPr>
          <w:b w:val="0"/>
        </w:rPr>
        <w:t xml:space="preserve">An organization, such as a public or private college and university, or community-based organization whose application has been approved by the local workforce board and approved for the state list of training services using an Individual Training Account. </w:t>
      </w:r>
    </w:p>
    <w:p w14:paraId="61FE60C8" w14:textId="77777777" w:rsidR="0040695E" w:rsidRDefault="0040695E" w:rsidP="0040695E">
      <w:pPr>
        <w:spacing w:after="0" w:line="259" w:lineRule="auto"/>
        <w:ind w:left="360"/>
      </w:pPr>
      <w:r>
        <w:t xml:space="preserve"> </w:t>
      </w:r>
    </w:p>
    <w:p w14:paraId="76D3BA23" w14:textId="77777777" w:rsidR="0040695E" w:rsidRDefault="0040695E" w:rsidP="0040695E">
      <w:pPr>
        <w:spacing w:after="0"/>
        <w:ind w:left="0" w:right="43"/>
        <w:jc w:val="both"/>
        <w:rPr>
          <w:b w:val="0"/>
        </w:rPr>
      </w:pPr>
      <w:r>
        <w:rPr>
          <w:i/>
        </w:rPr>
        <w:t>Individual Training Account:</w:t>
      </w:r>
      <w:r>
        <w:t xml:space="preserve"> </w:t>
      </w:r>
      <w:r>
        <w:rPr>
          <w:b w:val="0"/>
        </w:rPr>
        <w:t xml:space="preserve">A funding mechanism through which eligible individuals can access quality training to help obtain employment in high demand occupations. In-School Youth (ISY) (through the approval of a waiver from DOL) and Out of school youth (OSY) can use youth program-funded </w:t>
      </w:r>
      <w:r>
        <w:rPr>
          <w:b w:val="0"/>
          <w:highlight w:val="white"/>
        </w:rPr>
        <w:t>Individual Training Accounts (ITAs)</w:t>
      </w:r>
      <w:r>
        <w:rPr>
          <w:b w:val="0"/>
        </w:rPr>
        <w:t xml:space="preserve"> for any sector-based training programs. </w:t>
      </w:r>
      <w:r>
        <w:rPr>
          <w:b w:val="0"/>
          <w:highlight w:val="white"/>
        </w:rPr>
        <w:t>If the occupational training occurs through an ITA, then the provider must be on the Eligible Training Provider List.</w:t>
      </w:r>
    </w:p>
    <w:p w14:paraId="3398B69E" w14:textId="77777777" w:rsidR="0040695E" w:rsidRDefault="0040695E" w:rsidP="0040695E">
      <w:pPr>
        <w:spacing w:after="0" w:line="259" w:lineRule="auto"/>
        <w:ind w:left="360"/>
      </w:pPr>
      <w:r>
        <w:rPr>
          <w:i/>
        </w:rPr>
        <w:t xml:space="preserve"> </w:t>
      </w:r>
    </w:p>
    <w:p w14:paraId="04A2A671" w14:textId="77777777" w:rsidR="0040695E" w:rsidRDefault="0040695E" w:rsidP="0040695E">
      <w:pPr>
        <w:spacing w:after="0"/>
        <w:ind w:left="0" w:right="43"/>
        <w:jc w:val="both"/>
        <w:rPr>
          <w:b w:val="0"/>
        </w:rPr>
      </w:pPr>
      <w:r>
        <w:rPr>
          <w:i/>
        </w:rPr>
        <w:t>Participant:</w:t>
      </w:r>
      <w:r>
        <w:t xml:space="preserve"> </w:t>
      </w:r>
      <w:r>
        <w:rPr>
          <w:b w:val="0"/>
        </w:rPr>
        <w:t xml:space="preserve">A reportable individual who has received staff-assisted services after satisfying all applicable programmatic requirements for providing services, such as eligibility determination. The following individuals are not participants: (I) Individuals who have not completed at least 12 contact hours in the Adult Education and Family Literacy Act (AEFLA) program; (ii) Individuals who only use the self-service system; and (iii) Individuals who only receive information services or activities. </w:t>
      </w:r>
    </w:p>
    <w:p w14:paraId="6ED7E4C3" w14:textId="77777777" w:rsidR="0040695E" w:rsidRDefault="0040695E" w:rsidP="0040695E">
      <w:pPr>
        <w:spacing w:after="0" w:line="259" w:lineRule="auto"/>
        <w:ind w:left="360"/>
      </w:pPr>
      <w:r>
        <w:t xml:space="preserve"> </w:t>
      </w:r>
    </w:p>
    <w:p w14:paraId="6B6FF104" w14:textId="77777777" w:rsidR="0040695E" w:rsidRDefault="0040695E" w:rsidP="0040695E">
      <w:pPr>
        <w:ind w:left="0" w:right="43"/>
        <w:jc w:val="both"/>
        <w:rPr>
          <w:b w:val="0"/>
        </w:rPr>
      </w:pPr>
      <w:r>
        <w:rPr>
          <w:i/>
        </w:rPr>
        <w:t>Training Services:</w:t>
      </w:r>
      <w:r>
        <w:t xml:space="preserve">  </w:t>
      </w:r>
      <w:r>
        <w:rPr>
          <w:b w:val="0"/>
        </w:rPr>
        <w:t xml:space="preserve">Means services provided to eligible individuals if it is determined, after an interview, evaluation or assessment, and career planning, that the individual:  </w:t>
      </w:r>
    </w:p>
    <w:p w14:paraId="407E211C" w14:textId="77777777" w:rsidR="0040695E" w:rsidRDefault="0040695E" w:rsidP="0040695E">
      <w:pPr>
        <w:numPr>
          <w:ilvl w:val="0"/>
          <w:numId w:val="1"/>
        </w:numPr>
        <w:ind w:right="40" w:hanging="360"/>
        <w:jc w:val="both"/>
      </w:pPr>
      <w:r>
        <w:rPr>
          <w:b w:val="0"/>
        </w:rPr>
        <w:lastRenderedPageBreak/>
        <w:t xml:space="preserve">is unlikely or unable to obtain or retain employment, that leads to economic self-sufficiency or wages comparable to or higher than wages from previous employment through career services alone;  </w:t>
      </w:r>
    </w:p>
    <w:p w14:paraId="41C91659" w14:textId="77777777" w:rsidR="0040695E" w:rsidRDefault="0040695E" w:rsidP="0040695E">
      <w:pPr>
        <w:numPr>
          <w:ilvl w:val="0"/>
          <w:numId w:val="1"/>
        </w:numPr>
        <w:ind w:right="40" w:hanging="360"/>
        <w:jc w:val="both"/>
      </w:pPr>
      <w:r>
        <w:rPr>
          <w:b w:val="0"/>
        </w:rPr>
        <w:t xml:space="preserve">needs training services to obtain or retain employment that leads to economic self-sufficiency or wages comparable to or higher than wages from previous employment, through career services alone; and  </w:t>
      </w:r>
    </w:p>
    <w:p w14:paraId="5A6B32BE" w14:textId="77777777" w:rsidR="0040695E" w:rsidRDefault="0040695E" w:rsidP="0040695E">
      <w:pPr>
        <w:numPr>
          <w:ilvl w:val="0"/>
          <w:numId w:val="1"/>
        </w:numPr>
        <w:spacing w:after="0"/>
        <w:ind w:right="40" w:hanging="360"/>
        <w:jc w:val="both"/>
      </w:pPr>
      <w:r>
        <w:rPr>
          <w:b w:val="0"/>
        </w:rPr>
        <w:t xml:space="preserve">has the skills and qualifications to participate in the selected program of training services successfully.  </w:t>
      </w:r>
    </w:p>
    <w:p w14:paraId="5D8677C4" w14:textId="77777777" w:rsidR="0040695E" w:rsidRDefault="0040695E" w:rsidP="0040695E">
      <w:pPr>
        <w:spacing w:after="0" w:line="259" w:lineRule="auto"/>
        <w:ind w:left="360"/>
      </w:pPr>
      <w:r>
        <w:t xml:space="preserve"> </w:t>
      </w:r>
    </w:p>
    <w:p w14:paraId="0AAD84C1" w14:textId="77777777" w:rsidR="0040695E" w:rsidRDefault="0040695E" w:rsidP="0040695E">
      <w:pPr>
        <w:spacing w:after="0"/>
        <w:ind w:left="0" w:right="43"/>
        <w:jc w:val="both"/>
        <w:rPr>
          <w:b w:val="0"/>
        </w:rPr>
      </w:pPr>
      <w:r>
        <w:rPr>
          <w:i/>
        </w:rPr>
        <w:t>Workforce Innovation &amp; Opportunity Act:</w:t>
      </w:r>
      <w:r>
        <w:t xml:space="preserve">  </w:t>
      </w:r>
      <w:r>
        <w:rPr>
          <w:b w:val="0"/>
        </w:rPr>
        <w:t xml:space="preserve">An act to amend the Workforce Investment Act of 1998 to strengthen the United States workforce development system through innovation in, and alignment and improvement of, employment, training, and education programs in the United States, and to promote individual and national economic growth, and for other purposes. </w:t>
      </w:r>
    </w:p>
    <w:p w14:paraId="3DCA9ED4" w14:textId="77777777" w:rsidR="0040695E" w:rsidRDefault="0040695E" w:rsidP="0040695E">
      <w:pPr>
        <w:spacing w:after="0"/>
        <w:ind w:left="370" w:right="40"/>
      </w:pPr>
    </w:p>
    <w:p w14:paraId="213C0621" w14:textId="77777777" w:rsidR="0040695E" w:rsidRDefault="0040695E" w:rsidP="0040695E">
      <w:pPr>
        <w:spacing w:after="0" w:line="259" w:lineRule="auto"/>
        <w:ind w:left="0"/>
      </w:pPr>
    </w:p>
    <w:p w14:paraId="16C3F509" w14:textId="77777777" w:rsidR="0040695E" w:rsidRDefault="0040695E" w:rsidP="0040695E">
      <w:pPr>
        <w:ind w:left="-5"/>
      </w:pPr>
      <w:r>
        <w:t xml:space="preserve">Acronyms Used in This NOFO: </w:t>
      </w:r>
    </w:p>
    <w:p w14:paraId="769C13F6" w14:textId="77777777" w:rsidR="0040695E" w:rsidRDefault="0040695E" w:rsidP="0040695E">
      <w:pPr>
        <w:tabs>
          <w:tab w:val="left" w:pos="810"/>
          <w:tab w:val="center" w:pos="3119"/>
        </w:tabs>
        <w:ind w:left="0"/>
      </w:pPr>
      <w:r>
        <w:t>DCEO:</w:t>
      </w:r>
      <w:r>
        <w:tab/>
        <w:t xml:space="preserve">Department of Commerce and Economic Opportunity </w:t>
      </w:r>
    </w:p>
    <w:p w14:paraId="5CB6BF53" w14:textId="77777777" w:rsidR="0040695E" w:rsidRDefault="0040695E" w:rsidP="0040695E">
      <w:pPr>
        <w:tabs>
          <w:tab w:val="left" w:pos="810"/>
        </w:tabs>
        <w:ind w:right="40" w:firstLine="10"/>
      </w:pPr>
      <w:r>
        <w:t xml:space="preserve">DUNS:   </w:t>
      </w:r>
      <w:r>
        <w:tab/>
        <w:t xml:space="preserve">Data Universal Numbering System </w:t>
      </w:r>
    </w:p>
    <w:p w14:paraId="69D6AFD6" w14:textId="77777777" w:rsidR="0040695E" w:rsidRDefault="0040695E" w:rsidP="0040695E">
      <w:pPr>
        <w:tabs>
          <w:tab w:val="left" w:pos="810"/>
          <w:tab w:val="center" w:pos="2307"/>
        </w:tabs>
        <w:ind w:left="0"/>
      </w:pPr>
      <w:r>
        <w:t xml:space="preserve">IWIB: </w:t>
      </w:r>
      <w:r>
        <w:tab/>
        <w:t xml:space="preserve">Illinois Workforce Innovation Board </w:t>
      </w:r>
    </w:p>
    <w:p w14:paraId="6C249907" w14:textId="77777777" w:rsidR="0040695E" w:rsidRDefault="0040695E" w:rsidP="0040695E">
      <w:pPr>
        <w:tabs>
          <w:tab w:val="left" w:pos="810"/>
          <w:tab w:val="center" w:pos="2307"/>
        </w:tabs>
        <w:ind w:left="0"/>
      </w:pPr>
      <w:r>
        <w:t>LWIB:</w:t>
      </w:r>
      <w:r>
        <w:tab/>
        <w:t>Local Workforce Innovation Board</w:t>
      </w:r>
    </w:p>
    <w:p w14:paraId="530F9E26" w14:textId="77777777" w:rsidR="0040695E" w:rsidRDefault="0040695E" w:rsidP="0040695E">
      <w:pPr>
        <w:tabs>
          <w:tab w:val="left" w:pos="720"/>
          <w:tab w:val="left" w:pos="810"/>
        </w:tabs>
        <w:ind w:right="40" w:firstLine="10"/>
      </w:pPr>
      <w:r>
        <w:t xml:space="preserve">LWIA:    </w:t>
      </w:r>
      <w:r>
        <w:tab/>
        <w:t xml:space="preserve">Local Workforce Innovation Area </w:t>
      </w:r>
    </w:p>
    <w:p w14:paraId="1932F458" w14:textId="77777777" w:rsidR="0040695E" w:rsidRDefault="0040695E" w:rsidP="0040695E">
      <w:pPr>
        <w:tabs>
          <w:tab w:val="left" w:pos="810"/>
          <w:tab w:val="center" w:pos="2170"/>
        </w:tabs>
        <w:ind w:left="0"/>
      </w:pPr>
      <w:r>
        <w:t xml:space="preserve">MOU: </w:t>
      </w:r>
      <w:r>
        <w:tab/>
        <w:t xml:space="preserve">Memorandum of Understanding </w:t>
      </w:r>
    </w:p>
    <w:p w14:paraId="52D493F5" w14:textId="77777777" w:rsidR="0040695E" w:rsidRDefault="0040695E" w:rsidP="0040695E">
      <w:pPr>
        <w:tabs>
          <w:tab w:val="left" w:pos="810"/>
        </w:tabs>
        <w:ind w:right="40" w:firstLine="10"/>
      </w:pPr>
      <w:r>
        <w:t xml:space="preserve">MTDC:  </w:t>
      </w:r>
      <w:r>
        <w:tab/>
        <w:t xml:space="preserve">Modified Total Direct Cost </w:t>
      </w:r>
    </w:p>
    <w:p w14:paraId="403CFC7D" w14:textId="77777777" w:rsidR="0040695E" w:rsidRDefault="0040695E" w:rsidP="0040695E">
      <w:pPr>
        <w:tabs>
          <w:tab w:val="left" w:pos="810"/>
        </w:tabs>
        <w:ind w:right="40" w:firstLine="10"/>
      </w:pPr>
      <w:r>
        <w:t xml:space="preserve">NICRA:  </w:t>
      </w:r>
      <w:r>
        <w:tab/>
        <w:t xml:space="preserve">Negotiated Indirect Cost Rate Agreement </w:t>
      </w:r>
    </w:p>
    <w:p w14:paraId="7EAF231E" w14:textId="77777777" w:rsidR="0040695E" w:rsidRDefault="0040695E" w:rsidP="0040695E">
      <w:pPr>
        <w:tabs>
          <w:tab w:val="left" w:pos="810"/>
        </w:tabs>
        <w:ind w:right="40" w:firstLine="10"/>
      </w:pPr>
      <w:r>
        <w:t xml:space="preserve">NOFO:  </w:t>
      </w:r>
      <w:r>
        <w:tab/>
        <w:t xml:space="preserve">Notice of Funding Opportunity </w:t>
      </w:r>
    </w:p>
    <w:p w14:paraId="1FE342B1" w14:textId="77777777" w:rsidR="0040695E" w:rsidRDefault="0040695E" w:rsidP="0040695E">
      <w:pPr>
        <w:tabs>
          <w:tab w:val="left" w:pos="810"/>
        </w:tabs>
        <w:ind w:right="40" w:firstLine="10"/>
      </w:pPr>
      <w:r>
        <w:t xml:space="preserve">NOSA:  </w:t>
      </w:r>
      <w:r>
        <w:tab/>
        <w:t xml:space="preserve">Notice of State Award </w:t>
      </w:r>
    </w:p>
    <w:p w14:paraId="6C823F77" w14:textId="77777777" w:rsidR="0040695E" w:rsidRDefault="0040695E" w:rsidP="0040695E">
      <w:pPr>
        <w:tabs>
          <w:tab w:val="left" w:pos="810"/>
          <w:tab w:val="center" w:pos="2140"/>
        </w:tabs>
        <w:ind w:left="0"/>
      </w:pPr>
      <w:r>
        <w:t xml:space="preserve">SAM:    </w:t>
      </w:r>
      <w:r>
        <w:tab/>
        <w:t xml:space="preserve">System for Award Management </w:t>
      </w:r>
    </w:p>
    <w:p w14:paraId="5BC996CA" w14:textId="77777777" w:rsidR="0040695E" w:rsidRDefault="0040695E" w:rsidP="0040695E">
      <w:pPr>
        <w:tabs>
          <w:tab w:val="left" w:pos="810"/>
        </w:tabs>
        <w:ind w:right="40" w:firstLine="10"/>
      </w:pPr>
      <w:r>
        <w:t xml:space="preserve">USDOL: </w:t>
      </w:r>
      <w:r>
        <w:tab/>
        <w:t xml:space="preserve">United States Department of Labor </w:t>
      </w:r>
    </w:p>
    <w:p w14:paraId="5FAAA636" w14:textId="19D7B262" w:rsidR="0040695E" w:rsidRDefault="0040695E" w:rsidP="0040695E">
      <w:pPr>
        <w:pStyle w:val="Heading2"/>
        <w:spacing w:after="0" w:line="259" w:lineRule="auto"/>
        <w:ind w:left="0"/>
      </w:pPr>
      <w:bookmarkStart w:id="5" w:name="_1egqt2p" w:colFirst="0" w:colLast="0"/>
      <w:bookmarkStart w:id="6" w:name="_Toc55474398"/>
      <w:bookmarkStart w:id="7" w:name="_Toc55474563"/>
      <w:bookmarkStart w:id="8" w:name="_Toc55474984"/>
      <w:bookmarkStart w:id="9" w:name="_Toc55479439"/>
      <w:bookmarkStart w:id="10" w:name="_Toc55979613"/>
      <w:bookmarkStart w:id="11" w:name="_Toc55979756"/>
      <w:bookmarkEnd w:id="5"/>
      <w:r>
        <w:t xml:space="preserve">WIOA:  </w:t>
      </w:r>
      <w:r>
        <w:tab/>
        <w:t>Workforce Innovation and Opportunity Act</w:t>
      </w:r>
      <w:bookmarkEnd w:id="6"/>
      <w:bookmarkEnd w:id="7"/>
      <w:bookmarkEnd w:id="8"/>
      <w:bookmarkEnd w:id="9"/>
      <w:bookmarkEnd w:id="10"/>
      <w:bookmarkEnd w:id="11"/>
      <w:r>
        <w:t xml:space="preserve"> </w:t>
      </w:r>
    </w:p>
    <w:p w14:paraId="17229D53" w14:textId="77777777" w:rsidR="00545091" w:rsidRDefault="00545091"/>
    <w:sectPr w:rsidR="00545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1610D"/>
    <w:multiLevelType w:val="multilevel"/>
    <w:tmpl w:val="FA423FEA"/>
    <w:lvl w:ilvl="0">
      <w:start w:val="1"/>
      <w:numFmt w:val="bullet"/>
      <w:lvlText w:val="•"/>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80" w:hanging="14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200" w:hanging="22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920" w:hanging="29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40" w:hanging="36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60" w:hanging="43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80" w:hanging="50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800" w:hanging="5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520" w:hanging="65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 w15:restartNumberingAfterBreak="0">
    <w:nsid w:val="52136F62"/>
    <w:multiLevelType w:val="multilevel"/>
    <w:tmpl w:val="987E8B14"/>
    <w:lvl w:ilvl="0">
      <w:start w:val="1"/>
      <w:numFmt w:val="bullet"/>
      <w:lvlText w:val="•"/>
      <w:lvlJc w:val="left"/>
      <w:pPr>
        <w:ind w:left="36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926" w:hanging="926"/>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646" w:hanging="1646"/>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366" w:hanging="2366"/>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086" w:hanging="3086"/>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806" w:hanging="3806"/>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526" w:hanging="4526"/>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246" w:hanging="5246"/>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5966" w:hanging="5966"/>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BQITIwsjS3MjUyMzSyUdpeDU4uLM/DyQAqNaAHf75oAsAAAA"/>
  </w:docVars>
  <w:rsids>
    <w:rsidRoot w:val="0040695E"/>
    <w:rsid w:val="0040695E"/>
    <w:rsid w:val="004B209D"/>
    <w:rsid w:val="0054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76F5"/>
  <w15:chartTrackingRefBased/>
  <w15:docId w15:val="{20025971-1F0B-4F3C-9493-56585119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5E"/>
    <w:pPr>
      <w:spacing w:after="5" w:line="248" w:lineRule="auto"/>
      <w:ind w:left="10"/>
    </w:pPr>
    <w:rPr>
      <w:rFonts w:ascii="Calibri" w:eastAsia="Calibri" w:hAnsi="Calibri" w:cs="Calibri"/>
      <w:b/>
    </w:rPr>
  </w:style>
  <w:style w:type="paragraph" w:styleId="Heading1">
    <w:name w:val="heading 1"/>
    <w:basedOn w:val="Normal"/>
    <w:next w:val="Normal"/>
    <w:link w:val="Heading1Char"/>
    <w:uiPriority w:val="9"/>
    <w:qFormat/>
    <w:rsid w:val="0040695E"/>
    <w:pPr>
      <w:keepNext/>
      <w:keepLines/>
      <w:pBdr>
        <w:top w:val="nil"/>
        <w:left w:val="nil"/>
        <w:bottom w:val="nil"/>
        <w:right w:val="nil"/>
        <w:between w:val="nil"/>
      </w:pBdr>
      <w:spacing w:after="0" w:line="259" w:lineRule="auto"/>
      <w:ind w:left="56" w:hanging="10"/>
      <w:outlineLvl w:val="0"/>
    </w:pPr>
    <w:rPr>
      <w:color w:val="000000"/>
      <w:u w:val="single"/>
    </w:rPr>
  </w:style>
  <w:style w:type="paragraph" w:styleId="Heading2">
    <w:name w:val="heading 2"/>
    <w:basedOn w:val="Normal"/>
    <w:next w:val="Normal"/>
    <w:link w:val="Heading2Char"/>
    <w:uiPriority w:val="9"/>
    <w:unhideWhenUsed/>
    <w:qFormat/>
    <w:rsid w:val="0040695E"/>
    <w:pPr>
      <w:keepNext/>
      <w:keepLines/>
      <w:pBdr>
        <w:top w:val="nil"/>
        <w:left w:val="nil"/>
        <w:bottom w:val="nil"/>
        <w:right w:val="nil"/>
        <w:between w:val="nil"/>
      </w:pBdr>
      <w:ind w:hanging="10"/>
      <w:outlineLvl w:val="1"/>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95E"/>
    <w:rPr>
      <w:rFonts w:ascii="Calibri" w:eastAsia="Calibri" w:hAnsi="Calibri" w:cs="Calibri"/>
      <w:b/>
      <w:color w:val="000000"/>
      <w:u w:val="single"/>
    </w:rPr>
  </w:style>
  <w:style w:type="character" w:customStyle="1" w:styleId="Heading2Char">
    <w:name w:val="Heading 2 Char"/>
    <w:basedOn w:val="DefaultParagraphFont"/>
    <w:link w:val="Heading2"/>
    <w:uiPriority w:val="9"/>
    <w:rsid w:val="0040695E"/>
    <w:rPr>
      <w:rFonts w:ascii="Calibri" w:eastAsia="Calibri" w:hAnsi="Calibri" w:cs="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68AF0F-88ED-4F8B-9D06-9C660AE0715D}"/>
</file>

<file path=customXml/itemProps2.xml><?xml version="1.0" encoding="utf-8"?>
<ds:datastoreItem xmlns:ds="http://schemas.openxmlformats.org/officeDocument/2006/customXml" ds:itemID="{7AFAB27F-43DB-407D-93A3-6DEE836C50D0}"/>
</file>

<file path=customXml/itemProps3.xml><?xml version="1.0" encoding="utf-8"?>
<ds:datastoreItem xmlns:ds="http://schemas.openxmlformats.org/officeDocument/2006/customXml" ds:itemID="{ADF56812-FD09-4399-B559-70213E1FAECA}"/>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Terah Scott</dc:creator>
  <cp:keywords/>
  <dc:description/>
  <cp:lastModifiedBy>Terah Scott</cp:lastModifiedBy>
  <cp:revision>2</cp:revision>
  <dcterms:created xsi:type="dcterms:W3CDTF">2021-01-19T18:24:00Z</dcterms:created>
  <dcterms:modified xsi:type="dcterms:W3CDTF">2021-01-19T18:43:00Z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