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1E7F7" w14:textId="67263BD8" w:rsidR="00572419" w:rsidRDefault="00AC035F" w:rsidP="00360186">
      <w:pPr>
        <w:pStyle w:val="NoSpacing"/>
        <w:rPr>
          <w:rStyle w:val="Heading2Char"/>
        </w:rPr>
      </w:pPr>
      <w:bookmarkStart w:id="0" w:name="_Toc22050766"/>
      <w:r>
        <w:rPr>
          <w:rStyle w:val="Heading2Char"/>
        </w:rPr>
        <w:t xml:space="preserve">EMERGENCY </w:t>
      </w:r>
      <w:r w:rsidR="00B973D2">
        <w:rPr>
          <w:rStyle w:val="Heading2Char"/>
        </w:rPr>
        <w:t xml:space="preserve">ASSISTANCE </w:t>
      </w:r>
      <w:r w:rsidR="00AB079F">
        <w:rPr>
          <w:rStyle w:val="Heading2Char"/>
        </w:rPr>
        <w:t xml:space="preserve">(1E) </w:t>
      </w:r>
      <w:r w:rsidR="00467F4C">
        <w:rPr>
          <w:rStyle w:val="Heading2Char"/>
        </w:rPr>
        <w:t>APPLICATION</w:t>
      </w:r>
      <w:r w:rsidR="00B973D2">
        <w:rPr>
          <w:rStyle w:val="Heading2Char"/>
        </w:rPr>
        <w:t xml:space="preserve"> </w:t>
      </w:r>
      <w:r w:rsidR="000F230B">
        <w:rPr>
          <w:rStyle w:val="Heading2Char"/>
        </w:rPr>
        <w:t>– PROGRAM YEAR 2020</w:t>
      </w:r>
    </w:p>
    <w:p w14:paraId="23AD135C" w14:textId="5DB296DA" w:rsidR="00064625" w:rsidRDefault="00064625" w:rsidP="008B3CD7">
      <w:pPr>
        <w:pStyle w:val="NoSpacing"/>
        <w:rPr>
          <w:bCs/>
          <w:i/>
          <w:sz w:val="20"/>
          <w:szCs w:val="20"/>
        </w:rPr>
      </w:pPr>
      <w:r>
        <w:rPr>
          <w:bCs/>
          <w:i/>
          <w:sz w:val="20"/>
          <w:szCs w:val="20"/>
        </w:rPr>
        <w:t xml:space="preserve">This is a suggested project summary format for applicants requesting Emergency Assistance </w:t>
      </w:r>
      <w:r w:rsidR="003F404E">
        <w:rPr>
          <w:bCs/>
          <w:i/>
          <w:sz w:val="20"/>
          <w:szCs w:val="20"/>
        </w:rPr>
        <w:t xml:space="preserve">(IE) </w:t>
      </w:r>
      <w:r w:rsidR="00291FB6">
        <w:rPr>
          <w:bCs/>
          <w:i/>
          <w:sz w:val="20"/>
          <w:szCs w:val="20"/>
        </w:rPr>
        <w:t>to support the C</w:t>
      </w:r>
      <w:r>
        <w:rPr>
          <w:bCs/>
          <w:i/>
          <w:sz w:val="20"/>
          <w:szCs w:val="20"/>
        </w:rPr>
        <w:t>OVID-19</w:t>
      </w:r>
      <w:r w:rsidR="00291FB6">
        <w:rPr>
          <w:bCs/>
          <w:i/>
          <w:sz w:val="20"/>
          <w:szCs w:val="20"/>
        </w:rPr>
        <w:t xml:space="preserve"> recovery efforts.  </w:t>
      </w:r>
      <w:r>
        <w:rPr>
          <w:bCs/>
          <w:i/>
          <w:sz w:val="20"/>
          <w:szCs w:val="20"/>
        </w:rPr>
        <w:t xml:space="preserve">Upon receiving </w:t>
      </w:r>
      <w:r w:rsidR="00291FB6">
        <w:rPr>
          <w:bCs/>
          <w:i/>
          <w:sz w:val="20"/>
          <w:szCs w:val="20"/>
        </w:rPr>
        <w:t xml:space="preserve">a </w:t>
      </w:r>
      <w:r w:rsidR="003F404E">
        <w:rPr>
          <w:bCs/>
          <w:i/>
          <w:sz w:val="20"/>
          <w:szCs w:val="20"/>
        </w:rPr>
        <w:t xml:space="preserve">IE funding commitment </w:t>
      </w:r>
      <w:r w:rsidR="00291FB6">
        <w:rPr>
          <w:bCs/>
          <w:i/>
          <w:sz w:val="20"/>
          <w:szCs w:val="20"/>
        </w:rPr>
        <w:t xml:space="preserve">from the Illinois Department of Commerce and Economic Opportunity, </w:t>
      </w:r>
      <w:r>
        <w:rPr>
          <w:bCs/>
          <w:i/>
          <w:sz w:val="20"/>
          <w:szCs w:val="20"/>
        </w:rPr>
        <w:t>grantees must submit a full application, including</w:t>
      </w:r>
      <w:r w:rsidR="003F404E">
        <w:rPr>
          <w:bCs/>
          <w:i/>
          <w:sz w:val="20"/>
          <w:szCs w:val="20"/>
        </w:rPr>
        <w:t xml:space="preserve"> the standard application form, </w:t>
      </w:r>
      <w:r>
        <w:rPr>
          <w:bCs/>
          <w:i/>
          <w:sz w:val="20"/>
          <w:szCs w:val="20"/>
        </w:rPr>
        <w:t>budge</w:t>
      </w:r>
      <w:r w:rsidR="002D0778">
        <w:rPr>
          <w:bCs/>
          <w:i/>
          <w:sz w:val="20"/>
          <w:szCs w:val="20"/>
        </w:rPr>
        <w:t xml:space="preserve">t, </w:t>
      </w:r>
      <w:r>
        <w:rPr>
          <w:bCs/>
          <w:i/>
          <w:sz w:val="20"/>
          <w:szCs w:val="20"/>
        </w:rPr>
        <w:t>and implementation plan</w:t>
      </w:r>
      <w:r w:rsidR="003F404E">
        <w:rPr>
          <w:bCs/>
          <w:i/>
          <w:sz w:val="20"/>
          <w:szCs w:val="20"/>
        </w:rPr>
        <w:t>.</w:t>
      </w:r>
    </w:p>
    <w:p w14:paraId="1D683444" w14:textId="0E78DA8F" w:rsidR="00467F4C" w:rsidRDefault="00467F4C" w:rsidP="00572419">
      <w:pPr>
        <w:pStyle w:val="NoSpacing"/>
        <w:rPr>
          <w:rStyle w:val="Heading2Char"/>
        </w:rPr>
      </w:pPr>
      <w:bookmarkStart w:id="1" w:name="_Hlk63314034"/>
    </w:p>
    <w:p w14:paraId="4D656A34" w14:textId="77777777" w:rsidR="002D0778" w:rsidRDefault="002D0778" w:rsidP="00572419">
      <w:pPr>
        <w:pStyle w:val="NoSpacing"/>
        <w:rPr>
          <w:rStyle w:val="Heading2Char"/>
        </w:rPr>
      </w:pPr>
    </w:p>
    <w:tbl>
      <w:tblPr>
        <w:tblStyle w:val="TableGrid"/>
        <w:tblW w:w="0" w:type="auto"/>
        <w:tblLook w:val="04A0" w:firstRow="1" w:lastRow="0" w:firstColumn="1" w:lastColumn="0" w:noHBand="0" w:noVBand="1"/>
      </w:tblPr>
      <w:tblGrid>
        <w:gridCol w:w="805"/>
        <w:gridCol w:w="1170"/>
        <w:gridCol w:w="1890"/>
        <w:gridCol w:w="5485"/>
      </w:tblGrid>
      <w:tr w:rsidR="002D0778" w14:paraId="413E8178" w14:textId="77777777" w:rsidTr="001113B0">
        <w:trPr>
          <w:trHeight w:val="389"/>
        </w:trPr>
        <w:tc>
          <w:tcPr>
            <w:tcW w:w="9350" w:type="dxa"/>
            <w:gridSpan w:val="4"/>
            <w:shd w:val="clear" w:color="auto" w:fill="D9D9D9" w:themeFill="background1" w:themeFillShade="D9"/>
            <w:vAlign w:val="bottom"/>
          </w:tcPr>
          <w:p w14:paraId="104BA67B" w14:textId="77777777" w:rsidR="002D0778" w:rsidRPr="003F404E" w:rsidRDefault="002D0778" w:rsidP="00AD4CD2">
            <w:pPr>
              <w:rPr>
                <w:b/>
                <w:bCs/>
                <w:sz w:val="24"/>
                <w:szCs w:val="24"/>
              </w:rPr>
            </w:pPr>
            <w:r>
              <w:rPr>
                <w:b/>
                <w:bCs/>
                <w:sz w:val="24"/>
                <w:szCs w:val="24"/>
              </w:rPr>
              <w:t>APPLICATION INFORMATION</w:t>
            </w:r>
          </w:p>
        </w:tc>
      </w:tr>
      <w:tr w:rsidR="002D0778" w14:paraId="17AC465A" w14:textId="77777777" w:rsidTr="00AD4CD2">
        <w:tc>
          <w:tcPr>
            <w:tcW w:w="805" w:type="dxa"/>
          </w:tcPr>
          <w:p w14:paraId="15F9A8B2" w14:textId="77777777" w:rsidR="002D0778" w:rsidRPr="00711978" w:rsidRDefault="002D0778" w:rsidP="00AD4CD2">
            <w:pPr>
              <w:rPr>
                <w:rFonts w:cstheme="minorHAnsi"/>
                <w:b/>
                <w:sz w:val="20"/>
                <w:szCs w:val="20"/>
              </w:rPr>
            </w:pPr>
            <w:r>
              <w:rPr>
                <w:rFonts w:cstheme="minorHAnsi"/>
                <w:b/>
                <w:sz w:val="20"/>
                <w:szCs w:val="20"/>
              </w:rPr>
              <w:t>LWIA</w:t>
            </w:r>
          </w:p>
        </w:tc>
        <w:tc>
          <w:tcPr>
            <w:tcW w:w="1170" w:type="dxa"/>
          </w:tcPr>
          <w:p w14:paraId="25C96ECF" w14:textId="77777777" w:rsidR="002D0778" w:rsidRPr="00291FB6" w:rsidRDefault="002D0778" w:rsidP="00AD4CD2">
            <w:pPr>
              <w:rPr>
                <w:rFonts w:cstheme="minorHAnsi"/>
                <w:bCs/>
                <w:sz w:val="20"/>
                <w:szCs w:val="20"/>
              </w:rPr>
            </w:pPr>
          </w:p>
        </w:tc>
        <w:tc>
          <w:tcPr>
            <w:tcW w:w="1890" w:type="dxa"/>
          </w:tcPr>
          <w:p w14:paraId="3BACD33E" w14:textId="77777777" w:rsidR="002D0778" w:rsidRPr="00711978" w:rsidRDefault="002D0778" w:rsidP="00AD4CD2">
            <w:pPr>
              <w:rPr>
                <w:b/>
                <w:bCs/>
                <w:sz w:val="20"/>
                <w:szCs w:val="20"/>
              </w:rPr>
            </w:pPr>
            <w:r>
              <w:rPr>
                <w:b/>
                <w:bCs/>
                <w:sz w:val="20"/>
                <w:szCs w:val="20"/>
              </w:rPr>
              <w:t>DATE SUBMITTED</w:t>
            </w:r>
          </w:p>
        </w:tc>
        <w:tc>
          <w:tcPr>
            <w:tcW w:w="5485" w:type="dxa"/>
          </w:tcPr>
          <w:p w14:paraId="7030B568" w14:textId="77777777" w:rsidR="002D0778" w:rsidRPr="00291FB6" w:rsidRDefault="002D0778" w:rsidP="00AD4CD2">
            <w:pPr>
              <w:rPr>
                <w:sz w:val="20"/>
                <w:szCs w:val="20"/>
              </w:rPr>
            </w:pPr>
          </w:p>
        </w:tc>
      </w:tr>
      <w:tr w:rsidR="002D0778" w14:paraId="044CAB67" w14:textId="77777777" w:rsidTr="00AD4CD2">
        <w:tc>
          <w:tcPr>
            <w:tcW w:w="1975" w:type="dxa"/>
            <w:gridSpan w:val="2"/>
          </w:tcPr>
          <w:p w14:paraId="4713B001" w14:textId="77777777" w:rsidR="002D0778" w:rsidRPr="00291259" w:rsidRDefault="002D0778" w:rsidP="00AD4CD2">
            <w:pPr>
              <w:rPr>
                <w:rFonts w:cstheme="minorHAnsi"/>
                <w:b/>
                <w:sz w:val="20"/>
                <w:szCs w:val="20"/>
              </w:rPr>
            </w:pPr>
            <w:r>
              <w:rPr>
                <w:rFonts w:cstheme="minorHAnsi"/>
                <w:b/>
                <w:sz w:val="20"/>
                <w:szCs w:val="20"/>
              </w:rPr>
              <w:t>DIRECTOR NAME</w:t>
            </w:r>
          </w:p>
        </w:tc>
        <w:tc>
          <w:tcPr>
            <w:tcW w:w="7375" w:type="dxa"/>
            <w:gridSpan w:val="2"/>
          </w:tcPr>
          <w:p w14:paraId="5953F0E0" w14:textId="77777777" w:rsidR="002D0778" w:rsidRPr="00291FB6" w:rsidRDefault="002D0778" w:rsidP="00AD4CD2">
            <w:pPr>
              <w:rPr>
                <w:sz w:val="20"/>
                <w:szCs w:val="20"/>
              </w:rPr>
            </w:pPr>
          </w:p>
        </w:tc>
      </w:tr>
      <w:tr w:rsidR="002D0778" w14:paraId="0FA7E77A" w14:textId="77777777" w:rsidTr="00AD4CD2">
        <w:tc>
          <w:tcPr>
            <w:tcW w:w="1975" w:type="dxa"/>
            <w:gridSpan w:val="2"/>
          </w:tcPr>
          <w:p w14:paraId="0C5842B9" w14:textId="77777777" w:rsidR="002D0778" w:rsidRPr="00291259" w:rsidRDefault="002D0778" w:rsidP="00AD4CD2">
            <w:pPr>
              <w:autoSpaceDE w:val="0"/>
              <w:autoSpaceDN w:val="0"/>
              <w:adjustRightInd w:val="0"/>
              <w:rPr>
                <w:rFonts w:cstheme="minorHAnsi"/>
                <w:b/>
                <w:bCs/>
                <w:sz w:val="20"/>
                <w:szCs w:val="20"/>
              </w:rPr>
            </w:pPr>
            <w:r>
              <w:rPr>
                <w:rFonts w:cstheme="minorHAnsi"/>
                <w:b/>
                <w:bCs/>
                <w:sz w:val="20"/>
                <w:szCs w:val="20"/>
              </w:rPr>
              <w:t>SIGNATURE</w:t>
            </w:r>
          </w:p>
        </w:tc>
        <w:tc>
          <w:tcPr>
            <w:tcW w:w="7375" w:type="dxa"/>
            <w:gridSpan w:val="2"/>
          </w:tcPr>
          <w:p w14:paraId="31045E71" w14:textId="77777777" w:rsidR="002D0778" w:rsidRPr="00291FB6" w:rsidRDefault="002D0778" w:rsidP="00AD4CD2">
            <w:pPr>
              <w:rPr>
                <w:sz w:val="20"/>
                <w:szCs w:val="20"/>
              </w:rPr>
            </w:pPr>
          </w:p>
        </w:tc>
      </w:tr>
    </w:tbl>
    <w:p w14:paraId="3767DF4E" w14:textId="4C95C8CA" w:rsidR="002D0778" w:rsidRDefault="002D0778" w:rsidP="002D0778">
      <w:pPr>
        <w:pStyle w:val="NoSpacing"/>
        <w:rPr>
          <w:rStyle w:val="Heading2Char"/>
        </w:rPr>
      </w:pPr>
    </w:p>
    <w:p w14:paraId="2944C713" w14:textId="77777777" w:rsidR="002D0778" w:rsidRDefault="002D0778" w:rsidP="002D0778">
      <w:pPr>
        <w:pStyle w:val="NoSpacing"/>
        <w:rPr>
          <w:rStyle w:val="Heading2Char"/>
        </w:rPr>
      </w:pPr>
    </w:p>
    <w:tbl>
      <w:tblPr>
        <w:tblStyle w:val="TableGrid"/>
        <w:tblW w:w="0" w:type="auto"/>
        <w:tblLook w:val="04A0" w:firstRow="1" w:lastRow="0" w:firstColumn="1" w:lastColumn="0" w:noHBand="0" w:noVBand="1"/>
      </w:tblPr>
      <w:tblGrid>
        <w:gridCol w:w="5485"/>
        <w:gridCol w:w="3865"/>
      </w:tblGrid>
      <w:tr w:rsidR="003F404E" w14:paraId="5214A36A" w14:textId="77777777" w:rsidTr="00711978">
        <w:trPr>
          <w:trHeight w:val="386"/>
        </w:trPr>
        <w:tc>
          <w:tcPr>
            <w:tcW w:w="9350" w:type="dxa"/>
            <w:gridSpan w:val="2"/>
            <w:shd w:val="clear" w:color="auto" w:fill="D9D9D9" w:themeFill="background1" w:themeFillShade="D9"/>
            <w:vAlign w:val="bottom"/>
          </w:tcPr>
          <w:p w14:paraId="30E1660C" w14:textId="6951AA16" w:rsidR="003F404E" w:rsidRPr="00711978" w:rsidRDefault="003F404E" w:rsidP="00711978">
            <w:pPr>
              <w:pStyle w:val="NoSpacing"/>
              <w:rPr>
                <w:b/>
                <w:bCs/>
                <w:sz w:val="24"/>
                <w:szCs w:val="24"/>
              </w:rPr>
            </w:pPr>
            <w:r w:rsidRPr="00711978">
              <w:rPr>
                <w:b/>
                <w:bCs/>
                <w:sz w:val="24"/>
                <w:szCs w:val="24"/>
              </w:rPr>
              <w:t>PROJECTED OUTCOMES</w:t>
            </w:r>
          </w:p>
        </w:tc>
      </w:tr>
      <w:tr w:rsidR="003F404E" w14:paraId="796134B4" w14:textId="77777777" w:rsidTr="003F404E">
        <w:tc>
          <w:tcPr>
            <w:tcW w:w="5485" w:type="dxa"/>
          </w:tcPr>
          <w:p w14:paraId="5AF1BB90" w14:textId="51101004" w:rsidR="003F404E" w:rsidRPr="008B3CD7" w:rsidRDefault="008B3CD7" w:rsidP="003F404E">
            <w:pPr>
              <w:rPr>
                <w:rFonts w:cstheme="minorHAnsi"/>
                <w:bCs/>
                <w:i/>
                <w:iCs/>
                <w:sz w:val="20"/>
                <w:szCs w:val="20"/>
              </w:rPr>
            </w:pPr>
            <w:r w:rsidRPr="008B3CD7">
              <w:rPr>
                <w:rFonts w:cstheme="minorHAnsi"/>
                <w:bCs/>
                <w:i/>
                <w:iCs/>
                <w:sz w:val="20"/>
                <w:szCs w:val="20"/>
              </w:rPr>
              <w:t>Number of Dislocated Workers Served</w:t>
            </w:r>
          </w:p>
        </w:tc>
        <w:tc>
          <w:tcPr>
            <w:tcW w:w="3865" w:type="dxa"/>
          </w:tcPr>
          <w:p w14:paraId="06B56E9D" w14:textId="6819F454" w:rsidR="003F404E" w:rsidRPr="008B3CD7" w:rsidRDefault="003F404E" w:rsidP="003F404E">
            <w:pPr>
              <w:rPr>
                <w:sz w:val="20"/>
                <w:szCs w:val="20"/>
              </w:rPr>
            </w:pPr>
          </w:p>
        </w:tc>
      </w:tr>
      <w:tr w:rsidR="003F404E" w14:paraId="11521B12" w14:textId="77777777" w:rsidTr="003F404E">
        <w:tc>
          <w:tcPr>
            <w:tcW w:w="5485" w:type="dxa"/>
          </w:tcPr>
          <w:p w14:paraId="249F6B41" w14:textId="1E620959" w:rsidR="003F404E" w:rsidRPr="008B3CD7" w:rsidRDefault="008B3CD7" w:rsidP="003F404E">
            <w:pPr>
              <w:rPr>
                <w:rFonts w:cstheme="minorHAnsi"/>
                <w:bCs/>
                <w:i/>
                <w:iCs/>
                <w:sz w:val="20"/>
                <w:szCs w:val="20"/>
              </w:rPr>
            </w:pPr>
            <w:r w:rsidRPr="008B3CD7">
              <w:rPr>
                <w:rFonts w:cstheme="minorHAnsi"/>
                <w:bCs/>
                <w:i/>
                <w:iCs/>
                <w:sz w:val="20"/>
                <w:szCs w:val="20"/>
              </w:rPr>
              <w:t>Number of Layoff Avoided</w:t>
            </w:r>
          </w:p>
        </w:tc>
        <w:tc>
          <w:tcPr>
            <w:tcW w:w="3865" w:type="dxa"/>
          </w:tcPr>
          <w:p w14:paraId="12E25E8E" w14:textId="46BF2FEE" w:rsidR="003F404E" w:rsidRPr="008B3CD7" w:rsidRDefault="003F404E" w:rsidP="003F404E">
            <w:pPr>
              <w:rPr>
                <w:sz w:val="20"/>
                <w:szCs w:val="20"/>
              </w:rPr>
            </w:pPr>
          </w:p>
        </w:tc>
      </w:tr>
      <w:tr w:rsidR="008B3CD7" w14:paraId="3ADE7D07" w14:textId="77777777" w:rsidTr="003F404E">
        <w:tc>
          <w:tcPr>
            <w:tcW w:w="5485" w:type="dxa"/>
          </w:tcPr>
          <w:p w14:paraId="5C9AD557" w14:textId="5ED61438" w:rsidR="008B3CD7" w:rsidRPr="008B3CD7" w:rsidRDefault="008B3CD7" w:rsidP="003F404E">
            <w:pPr>
              <w:rPr>
                <w:rFonts w:cstheme="minorHAnsi"/>
                <w:bCs/>
                <w:i/>
                <w:iCs/>
                <w:sz w:val="20"/>
                <w:szCs w:val="20"/>
              </w:rPr>
            </w:pPr>
            <w:r w:rsidRPr="008B3CD7">
              <w:rPr>
                <w:rFonts w:cstheme="minorHAnsi"/>
                <w:bCs/>
                <w:i/>
                <w:iCs/>
                <w:sz w:val="20"/>
                <w:szCs w:val="20"/>
              </w:rPr>
              <w:t>Number of Businesses Assisted</w:t>
            </w:r>
          </w:p>
        </w:tc>
        <w:tc>
          <w:tcPr>
            <w:tcW w:w="3865" w:type="dxa"/>
          </w:tcPr>
          <w:p w14:paraId="3AF74352" w14:textId="77777777" w:rsidR="008B3CD7" w:rsidRPr="008B3CD7" w:rsidRDefault="008B3CD7" w:rsidP="003F404E">
            <w:pPr>
              <w:rPr>
                <w:sz w:val="20"/>
                <w:szCs w:val="20"/>
              </w:rPr>
            </w:pPr>
          </w:p>
        </w:tc>
      </w:tr>
      <w:tr w:rsidR="002D0778" w14:paraId="47F3B079" w14:textId="77777777" w:rsidTr="003F404E">
        <w:tc>
          <w:tcPr>
            <w:tcW w:w="5485" w:type="dxa"/>
          </w:tcPr>
          <w:p w14:paraId="4BCB425F" w14:textId="04165061" w:rsidR="002D0778" w:rsidRPr="008B3CD7" w:rsidRDefault="002D0778" w:rsidP="003F404E">
            <w:pPr>
              <w:rPr>
                <w:rFonts w:cstheme="minorHAnsi"/>
                <w:bCs/>
                <w:i/>
                <w:iCs/>
                <w:sz w:val="20"/>
                <w:szCs w:val="20"/>
              </w:rPr>
            </w:pPr>
            <w:r>
              <w:rPr>
                <w:rFonts w:cstheme="minorHAnsi"/>
                <w:bCs/>
                <w:i/>
                <w:iCs/>
                <w:sz w:val="20"/>
                <w:szCs w:val="20"/>
              </w:rPr>
              <w:t>Other (Please Describe)</w:t>
            </w:r>
          </w:p>
        </w:tc>
        <w:tc>
          <w:tcPr>
            <w:tcW w:w="3865" w:type="dxa"/>
          </w:tcPr>
          <w:p w14:paraId="4FBE05DC" w14:textId="77777777" w:rsidR="002D0778" w:rsidRPr="008B3CD7" w:rsidRDefault="002D0778" w:rsidP="003F404E">
            <w:pPr>
              <w:rPr>
                <w:sz w:val="20"/>
                <w:szCs w:val="20"/>
              </w:rPr>
            </w:pPr>
          </w:p>
        </w:tc>
      </w:tr>
    </w:tbl>
    <w:p w14:paraId="11BAED30" w14:textId="4E95E7A3" w:rsidR="00467F4C" w:rsidRDefault="00467F4C" w:rsidP="00572419">
      <w:pPr>
        <w:pStyle w:val="NoSpacing"/>
        <w:rPr>
          <w:rStyle w:val="Heading2Char"/>
        </w:rPr>
      </w:pPr>
    </w:p>
    <w:p w14:paraId="67E439D8" w14:textId="77777777" w:rsidR="002D0778" w:rsidRDefault="002D0778" w:rsidP="00572419">
      <w:pPr>
        <w:pStyle w:val="NoSpacing"/>
        <w:rPr>
          <w:rStyle w:val="Heading2Char"/>
        </w:rPr>
      </w:pPr>
    </w:p>
    <w:tbl>
      <w:tblPr>
        <w:tblStyle w:val="TableGrid"/>
        <w:tblW w:w="0" w:type="auto"/>
        <w:tblLook w:val="04A0" w:firstRow="1" w:lastRow="0" w:firstColumn="1" w:lastColumn="0" w:noHBand="0" w:noVBand="1"/>
      </w:tblPr>
      <w:tblGrid>
        <w:gridCol w:w="5485"/>
        <w:gridCol w:w="3865"/>
      </w:tblGrid>
      <w:tr w:rsidR="00291259" w14:paraId="67B394F0" w14:textId="77777777" w:rsidTr="00AD4CD2">
        <w:trPr>
          <w:trHeight w:val="341"/>
        </w:trPr>
        <w:tc>
          <w:tcPr>
            <w:tcW w:w="9350" w:type="dxa"/>
            <w:gridSpan w:val="2"/>
            <w:shd w:val="clear" w:color="auto" w:fill="D9D9D9" w:themeFill="background1" w:themeFillShade="D9"/>
            <w:vAlign w:val="bottom"/>
          </w:tcPr>
          <w:bookmarkEnd w:id="1"/>
          <w:p w14:paraId="6E77097B" w14:textId="77777777" w:rsidR="00291259" w:rsidRPr="003F404E" w:rsidRDefault="00291259" w:rsidP="00AD4CD2">
            <w:pPr>
              <w:rPr>
                <w:b/>
                <w:bCs/>
                <w:sz w:val="24"/>
                <w:szCs w:val="24"/>
              </w:rPr>
            </w:pPr>
            <w:r w:rsidRPr="003F404E">
              <w:rPr>
                <w:b/>
                <w:bCs/>
                <w:sz w:val="24"/>
                <w:szCs w:val="24"/>
              </w:rPr>
              <w:t>BUDGET</w:t>
            </w:r>
            <w:r>
              <w:rPr>
                <w:b/>
                <w:bCs/>
                <w:sz w:val="24"/>
                <w:szCs w:val="24"/>
              </w:rPr>
              <w:t xml:space="preserve"> </w:t>
            </w:r>
          </w:p>
        </w:tc>
      </w:tr>
      <w:tr w:rsidR="00291259" w14:paraId="33C18739" w14:textId="77777777" w:rsidTr="00AD4CD2">
        <w:tc>
          <w:tcPr>
            <w:tcW w:w="5485" w:type="dxa"/>
          </w:tcPr>
          <w:p w14:paraId="6F65B2B2" w14:textId="77777777" w:rsidR="00291259" w:rsidRPr="00711978" w:rsidRDefault="00291259" w:rsidP="00AD4CD2">
            <w:pPr>
              <w:rPr>
                <w:rFonts w:cstheme="minorHAnsi"/>
                <w:b/>
                <w:sz w:val="20"/>
                <w:szCs w:val="20"/>
              </w:rPr>
            </w:pPr>
            <w:r w:rsidRPr="00711978">
              <w:rPr>
                <w:rFonts w:cstheme="minorHAnsi"/>
                <w:b/>
                <w:sz w:val="20"/>
                <w:szCs w:val="20"/>
              </w:rPr>
              <w:t>TOTAL FUNDING REQUEST</w:t>
            </w:r>
          </w:p>
        </w:tc>
        <w:tc>
          <w:tcPr>
            <w:tcW w:w="3865" w:type="dxa"/>
          </w:tcPr>
          <w:p w14:paraId="2B854C01" w14:textId="77777777" w:rsidR="00291259" w:rsidRPr="00711978" w:rsidRDefault="00291259" w:rsidP="00AD4CD2">
            <w:pPr>
              <w:rPr>
                <w:b/>
                <w:bCs/>
                <w:sz w:val="20"/>
                <w:szCs w:val="20"/>
              </w:rPr>
            </w:pPr>
            <w:r w:rsidRPr="00711978">
              <w:rPr>
                <w:b/>
                <w:bCs/>
                <w:sz w:val="20"/>
                <w:szCs w:val="20"/>
              </w:rPr>
              <w:t>$</w:t>
            </w:r>
          </w:p>
        </w:tc>
      </w:tr>
      <w:tr w:rsidR="00291259" w14:paraId="2E622FD8" w14:textId="77777777" w:rsidTr="00AD4CD2">
        <w:tc>
          <w:tcPr>
            <w:tcW w:w="5485" w:type="dxa"/>
          </w:tcPr>
          <w:p w14:paraId="226D6CC7" w14:textId="77777777" w:rsidR="00291259" w:rsidRPr="003F404E" w:rsidRDefault="00291259" w:rsidP="00AD4CD2">
            <w:pPr>
              <w:rPr>
                <w:rFonts w:cstheme="minorHAnsi"/>
                <w:bCs/>
                <w:i/>
                <w:iCs/>
                <w:sz w:val="20"/>
                <w:szCs w:val="20"/>
              </w:rPr>
            </w:pPr>
            <w:r w:rsidRPr="003F404E">
              <w:rPr>
                <w:rFonts w:cstheme="minorHAnsi"/>
                <w:bCs/>
                <w:sz w:val="20"/>
                <w:szCs w:val="20"/>
              </w:rPr>
              <w:t xml:space="preserve">    -</w:t>
            </w:r>
            <w:r w:rsidRPr="003F404E">
              <w:rPr>
                <w:rFonts w:cstheme="minorHAnsi"/>
                <w:i/>
                <w:iCs/>
                <w:sz w:val="20"/>
                <w:szCs w:val="20"/>
              </w:rPr>
              <w:t>Strategies to Rapidly Connect Jobseekers to Workers</w:t>
            </w:r>
          </w:p>
        </w:tc>
        <w:tc>
          <w:tcPr>
            <w:tcW w:w="3865" w:type="dxa"/>
          </w:tcPr>
          <w:p w14:paraId="5AF2C451" w14:textId="77777777" w:rsidR="00291259" w:rsidRPr="003F404E" w:rsidRDefault="00291259" w:rsidP="00AD4CD2">
            <w:pPr>
              <w:rPr>
                <w:sz w:val="20"/>
                <w:szCs w:val="20"/>
              </w:rPr>
            </w:pPr>
            <w:r w:rsidRPr="003F404E">
              <w:rPr>
                <w:sz w:val="20"/>
                <w:szCs w:val="20"/>
              </w:rPr>
              <w:t>$</w:t>
            </w:r>
          </w:p>
        </w:tc>
      </w:tr>
      <w:tr w:rsidR="00291259" w14:paraId="00F75E14" w14:textId="77777777" w:rsidTr="00AD4CD2">
        <w:tc>
          <w:tcPr>
            <w:tcW w:w="5485" w:type="dxa"/>
          </w:tcPr>
          <w:p w14:paraId="07D231D6" w14:textId="77777777" w:rsidR="00291259" w:rsidRPr="003F404E" w:rsidRDefault="00291259" w:rsidP="00AD4CD2">
            <w:pPr>
              <w:autoSpaceDE w:val="0"/>
              <w:autoSpaceDN w:val="0"/>
              <w:adjustRightInd w:val="0"/>
              <w:rPr>
                <w:rFonts w:cstheme="minorHAnsi"/>
                <w:i/>
                <w:iCs/>
                <w:sz w:val="20"/>
                <w:szCs w:val="20"/>
              </w:rPr>
            </w:pPr>
            <w:r w:rsidRPr="003F404E">
              <w:rPr>
                <w:rFonts w:cstheme="minorHAnsi"/>
                <w:i/>
                <w:iCs/>
                <w:sz w:val="20"/>
                <w:szCs w:val="20"/>
              </w:rPr>
              <w:t xml:space="preserve">    -Strategies to Expand Supportive Services</w:t>
            </w:r>
          </w:p>
        </w:tc>
        <w:tc>
          <w:tcPr>
            <w:tcW w:w="3865" w:type="dxa"/>
          </w:tcPr>
          <w:p w14:paraId="25CE9358" w14:textId="77777777" w:rsidR="00291259" w:rsidRPr="003F404E" w:rsidRDefault="00291259" w:rsidP="00AD4CD2">
            <w:pPr>
              <w:rPr>
                <w:sz w:val="20"/>
                <w:szCs w:val="20"/>
              </w:rPr>
            </w:pPr>
            <w:r w:rsidRPr="003F404E">
              <w:rPr>
                <w:sz w:val="20"/>
                <w:szCs w:val="20"/>
              </w:rPr>
              <w:t>$</w:t>
            </w:r>
          </w:p>
        </w:tc>
      </w:tr>
      <w:tr w:rsidR="00291259" w14:paraId="213AE075" w14:textId="77777777" w:rsidTr="00AD4CD2">
        <w:tc>
          <w:tcPr>
            <w:tcW w:w="5485" w:type="dxa"/>
            <w:tcBorders>
              <w:bottom w:val="single" w:sz="4" w:space="0" w:color="auto"/>
            </w:tcBorders>
          </w:tcPr>
          <w:p w14:paraId="2CE0E734" w14:textId="77777777" w:rsidR="00291259" w:rsidRPr="003F404E" w:rsidRDefault="00291259" w:rsidP="00AD4CD2">
            <w:pPr>
              <w:pStyle w:val="NoSpacing"/>
              <w:rPr>
                <w:rFonts w:cstheme="minorHAnsi"/>
                <w:i/>
                <w:iCs/>
                <w:sz w:val="20"/>
                <w:szCs w:val="20"/>
              </w:rPr>
            </w:pPr>
            <w:r w:rsidRPr="003F404E">
              <w:rPr>
                <w:rFonts w:cstheme="minorHAnsi"/>
                <w:i/>
                <w:iCs/>
                <w:sz w:val="20"/>
                <w:szCs w:val="20"/>
              </w:rPr>
              <w:t xml:space="preserve">    -Strategies to Support Workers in Targeted Industries</w:t>
            </w:r>
          </w:p>
        </w:tc>
        <w:tc>
          <w:tcPr>
            <w:tcW w:w="3865" w:type="dxa"/>
            <w:tcBorders>
              <w:bottom w:val="single" w:sz="4" w:space="0" w:color="auto"/>
            </w:tcBorders>
          </w:tcPr>
          <w:p w14:paraId="4B1289BC" w14:textId="77777777" w:rsidR="00291259" w:rsidRPr="003F404E" w:rsidRDefault="00291259" w:rsidP="00AD4CD2">
            <w:pPr>
              <w:rPr>
                <w:sz w:val="20"/>
                <w:szCs w:val="20"/>
              </w:rPr>
            </w:pPr>
            <w:r w:rsidRPr="003F404E">
              <w:rPr>
                <w:sz w:val="20"/>
                <w:szCs w:val="20"/>
              </w:rPr>
              <w:t>$</w:t>
            </w:r>
          </w:p>
        </w:tc>
      </w:tr>
      <w:tr w:rsidR="00291259" w14:paraId="300B7807" w14:textId="77777777" w:rsidTr="001113B0">
        <w:trPr>
          <w:trHeight w:val="245"/>
        </w:trPr>
        <w:tc>
          <w:tcPr>
            <w:tcW w:w="5485" w:type="dxa"/>
            <w:tcBorders>
              <w:bottom w:val="single" w:sz="4" w:space="0" w:color="auto"/>
            </w:tcBorders>
          </w:tcPr>
          <w:p w14:paraId="6AC19A8E" w14:textId="77777777" w:rsidR="00291259" w:rsidRPr="003F404E" w:rsidRDefault="00291259" w:rsidP="001113B0">
            <w:pPr>
              <w:pStyle w:val="Pa30"/>
              <w:spacing w:line="240" w:lineRule="auto"/>
              <w:rPr>
                <w:rFonts w:asciiTheme="minorHAnsi" w:hAnsiTheme="minorHAnsi" w:cstheme="minorHAnsi"/>
                <w:i/>
                <w:iCs/>
                <w:sz w:val="20"/>
                <w:szCs w:val="20"/>
              </w:rPr>
            </w:pPr>
            <w:r w:rsidRPr="003F404E">
              <w:rPr>
                <w:rFonts w:cstheme="minorHAnsi"/>
                <w:i/>
                <w:iCs/>
                <w:sz w:val="20"/>
                <w:szCs w:val="20"/>
              </w:rPr>
              <w:t xml:space="preserve">    -Strategies to</w:t>
            </w:r>
            <w:r>
              <w:rPr>
                <w:rFonts w:cstheme="minorHAnsi"/>
                <w:i/>
                <w:iCs/>
                <w:sz w:val="20"/>
                <w:szCs w:val="20"/>
              </w:rPr>
              <w:t xml:space="preserve"> Support</w:t>
            </w:r>
            <w:r w:rsidRPr="003F404E">
              <w:rPr>
                <w:rFonts w:cstheme="minorHAnsi"/>
                <w:i/>
                <w:iCs/>
                <w:sz w:val="20"/>
                <w:szCs w:val="20"/>
              </w:rPr>
              <w:t xml:space="preserve"> Employers</w:t>
            </w:r>
          </w:p>
        </w:tc>
        <w:tc>
          <w:tcPr>
            <w:tcW w:w="3865" w:type="dxa"/>
            <w:tcBorders>
              <w:bottom w:val="single" w:sz="4" w:space="0" w:color="auto"/>
            </w:tcBorders>
          </w:tcPr>
          <w:p w14:paraId="20532051" w14:textId="77777777" w:rsidR="00291259" w:rsidRPr="003F404E" w:rsidRDefault="00291259" w:rsidP="00AD4CD2">
            <w:pPr>
              <w:rPr>
                <w:sz w:val="20"/>
                <w:szCs w:val="20"/>
              </w:rPr>
            </w:pPr>
            <w:r w:rsidRPr="003F404E">
              <w:rPr>
                <w:sz w:val="20"/>
                <w:szCs w:val="20"/>
              </w:rPr>
              <w:t>$</w:t>
            </w:r>
          </w:p>
        </w:tc>
      </w:tr>
    </w:tbl>
    <w:p w14:paraId="2C51D2CE" w14:textId="6547BAF6" w:rsidR="00291259" w:rsidRDefault="00291259" w:rsidP="00572419">
      <w:pPr>
        <w:pStyle w:val="NoSpacing"/>
        <w:rPr>
          <w:rStyle w:val="Heading2Char"/>
        </w:rPr>
      </w:pPr>
    </w:p>
    <w:p w14:paraId="0BDC4C82" w14:textId="77777777" w:rsidR="002D0778" w:rsidRDefault="002D0778" w:rsidP="00572419">
      <w:pPr>
        <w:pStyle w:val="NoSpacing"/>
        <w:rPr>
          <w:rStyle w:val="Heading2Char"/>
        </w:rPr>
      </w:pPr>
    </w:p>
    <w:p w14:paraId="61A82468" w14:textId="4A3F5BF1" w:rsidR="00467F4C" w:rsidRDefault="00FC4F8E" w:rsidP="00572419">
      <w:pPr>
        <w:pStyle w:val="NoSpacing"/>
        <w:rPr>
          <w:rStyle w:val="Heading2Char"/>
          <w:b w:val="0"/>
          <w:bCs/>
        </w:rPr>
      </w:pPr>
      <w:r>
        <w:rPr>
          <w:rStyle w:val="Heading2Char"/>
        </w:rPr>
        <w:t xml:space="preserve">COVID-19 RECOVERY ACTION </w:t>
      </w:r>
      <w:r w:rsidR="00467F4C" w:rsidRPr="00834DB0">
        <w:rPr>
          <w:rStyle w:val="Heading2Char"/>
        </w:rPr>
        <w:t>PLAN:</w:t>
      </w:r>
      <w:r w:rsidR="00467F4C">
        <w:rPr>
          <w:rStyle w:val="Heading2Char"/>
          <w:b w:val="0"/>
          <w:bCs/>
        </w:rPr>
        <w:t xml:space="preserve">  </w:t>
      </w:r>
      <w:r>
        <w:rPr>
          <w:rStyle w:val="Heading2Char"/>
          <w:b w:val="0"/>
          <w:bCs/>
        </w:rPr>
        <w:t>Provide a brief narrative of the local workforce areas</w:t>
      </w:r>
      <w:r w:rsidR="00291FB6">
        <w:rPr>
          <w:rStyle w:val="Heading2Char"/>
          <w:b w:val="0"/>
          <w:bCs/>
        </w:rPr>
        <w:t>’</w:t>
      </w:r>
      <w:r>
        <w:rPr>
          <w:rStyle w:val="Heading2Char"/>
          <w:b w:val="0"/>
          <w:bCs/>
        </w:rPr>
        <w:t xml:space="preserve"> plans to use IE funds to </w:t>
      </w:r>
      <w:r w:rsidRPr="00300E1F">
        <w:rPr>
          <w:rFonts w:cstheme="minorHAnsi"/>
        </w:rPr>
        <w:t>help employers retain worker</w:t>
      </w:r>
      <w:r>
        <w:rPr>
          <w:rFonts w:cstheme="minorHAnsi"/>
        </w:rPr>
        <w:t xml:space="preserve">s, </w:t>
      </w:r>
      <w:r w:rsidRPr="00300E1F">
        <w:rPr>
          <w:rFonts w:cstheme="minorHAnsi"/>
        </w:rPr>
        <w:t>prevent layoffs</w:t>
      </w:r>
      <w:r>
        <w:rPr>
          <w:rFonts w:cstheme="minorHAnsi"/>
        </w:rPr>
        <w:t>, and help jobseekers get a self-sustaining job</w:t>
      </w:r>
      <w:r w:rsidR="00711978">
        <w:rPr>
          <w:rFonts w:cstheme="minorHAnsi"/>
        </w:rPr>
        <w:t>.</w:t>
      </w:r>
      <w:r w:rsidR="001113B0">
        <w:rPr>
          <w:rFonts w:cstheme="minorHAnsi"/>
        </w:rPr>
        <w:t xml:space="preserve"> </w:t>
      </w:r>
      <w:r>
        <w:rPr>
          <w:rStyle w:val="Heading2Char"/>
          <w:b w:val="0"/>
          <w:bCs/>
        </w:rPr>
        <w:t xml:space="preserve"> Include</w:t>
      </w:r>
      <w:r w:rsidR="00467F4C">
        <w:rPr>
          <w:rStyle w:val="Heading2Char"/>
          <w:b w:val="0"/>
          <w:bCs/>
        </w:rPr>
        <w:t xml:space="preserve"> information on the specific needs of the</w:t>
      </w:r>
      <w:r>
        <w:rPr>
          <w:rStyle w:val="Heading2Char"/>
          <w:b w:val="0"/>
          <w:bCs/>
        </w:rPr>
        <w:t xml:space="preserve"> jobseekers,</w:t>
      </w:r>
      <w:r w:rsidR="00467F4C">
        <w:rPr>
          <w:rStyle w:val="Heading2Char"/>
          <w:b w:val="0"/>
          <w:bCs/>
        </w:rPr>
        <w:t xml:space="preserve"> employer</w:t>
      </w:r>
      <w:r>
        <w:rPr>
          <w:rStyle w:val="Heading2Char"/>
          <w:b w:val="0"/>
          <w:bCs/>
        </w:rPr>
        <w:t>s</w:t>
      </w:r>
      <w:r w:rsidR="00711978">
        <w:rPr>
          <w:rStyle w:val="Heading2Char"/>
          <w:b w:val="0"/>
          <w:bCs/>
        </w:rPr>
        <w:t xml:space="preserve"> that will be served with these funds as well as </w:t>
      </w:r>
      <w:r w:rsidR="00467F4C">
        <w:rPr>
          <w:rStyle w:val="Heading2Char"/>
          <w:b w:val="0"/>
          <w:bCs/>
        </w:rPr>
        <w:t>the layoff aversion activities</w:t>
      </w:r>
      <w:r w:rsidR="00711978">
        <w:rPr>
          <w:rStyle w:val="Heading2Char"/>
          <w:b w:val="0"/>
          <w:bCs/>
        </w:rPr>
        <w:t xml:space="preserve">.  Include the relevant information regarding the implementation of each strategy including </w:t>
      </w:r>
      <w:r w:rsidR="000D4A31">
        <w:rPr>
          <w:rStyle w:val="Heading2Char"/>
          <w:b w:val="0"/>
          <w:bCs/>
        </w:rPr>
        <w:t xml:space="preserve">the projected activities, outcomes, and </w:t>
      </w:r>
      <w:r w:rsidR="00467F4C">
        <w:rPr>
          <w:rStyle w:val="Heading2Char"/>
          <w:b w:val="0"/>
          <w:bCs/>
        </w:rPr>
        <w:t>timeline for the project</w:t>
      </w:r>
      <w:r w:rsidR="000D4A31">
        <w:rPr>
          <w:rStyle w:val="Heading2Char"/>
          <w:b w:val="0"/>
          <w:bCs/>
        </w:rPr>
        <w:t>(s).</w:t>
      </w:r>
      <w:r>
        <w:rPr>
          <w:rStyle w:val="Heading2Char"/>
          <w:b w:val="0"/>
          <w:bCs/>
        </w:rPr>
        <w:t xml:space="preserve">  Provide </w:t>
      </w:r>
      <w:r w:rsidR="000D4A31">
        <w:rPr>
          <w:rStyle w:val="Heading2Char"/>
          <w:b w:val="0"/>
          <w:bCs/>
        </w:rPr>
        <w:t>this</w:t>
      </w:r>
      <w:r>
        <w:rPr>
          <w:rStyle w:val="Heading2Char"/>
          <w:b w:val="0"/>
          <w:bCs/>
        </w:rPr>
        <w:t xml:space="preserve"> summary for each of the </w:t>
      </w:r>
      <w:r w:rsidR="00E37C83">
        <w:rPr>
          <w:rStyle w:val="Heading2Char"/>
          <w:b w:val="0"/>
          <w:bCs/>
        </w:rPr>
        <w:t xml:space="preserve">applicable </w:t>
      </w:r>
      <w:r>
        <w:rPr>
          <w:rStyle w:val="Heading2Char"/>
          <w:b w:val="0"/>
          <w:bCs/>
        </w:rPr>
        <w:t xml:space="preserve">categories outlined in Section V., Part B. of </w:t>
      </w:r>
      <w:r w:rsidR="00513AD0">
        <w:rPr>
          <w:rStyle w:val="Heading2Char"/>
          <w:b w:val="0"/>
          <w:bCs/>
        </w:rPr>
        <w:t>20-NOT-0</w:t>
      </w:r>
      <w:r w:rsidR="001113B0">
        <w:rPr>
          <w:rStyle w:val="Heading2Char"/>
          <w:b w:val="0"/>
          <w:bCs/>
        </w:rPr>
        <w:t>4</w:t>
      </w:r>
      <w:r w:rsidR="00513AD0">
        <w:rPr>
          <w:rStyle w:val="Heading2Char"/>
          <w:b w:val="0"/>
          <w:bCs/>
        </w:rPr>
        <w:t xml:space="preserve"> </w:t>
      </w:r>
      <w:r w:rsidR="006F4A84">
        <w:rPr>
          <w:rStyle w:val="Heading2Char"/>
          <w:b w:val="0"/>
          <w:bCs/>
        </w:rPr>
        <w:t xml:space="preserve">that the LWIA </w:t>
      </w:r>
      <w:r w:rsidR="00513AD0">
        <w:rPr>
          <w:rStyle w:val="Heading2Char"/>
          <w:b w:val="0"/>
          <w:bCs/>
        </w:rPr>
        <w:t>plans to implement using IE funds.</w:t>
      </w:r>
    </w:p>
    <w:p w14:paraId="2CE09436" w14:textId="00607A7A" w:rsidR="00FC4F8E" w:rsidRDefault="00FC4F8E" w:rsidP="00FC4F8E">
      <w:pPr>
        <w:pStyle w:val="NoSpacing"/>
        <w:numPr>
          <w:ilvl w:val="0"/>
          <w:numId w:val="17"/>
        </w:numPr>
        <w:rPr>
          <w:rStyle w:val="Heading2Char"/>
          <w:b w:val="0"/>
          <w:bCs/>
        </w:rPr>
      </w:pPr>
      <w:r w:rsidRPr="003F404E">
        <w:rPr>
          <w:rFonts w:cstheme="minorHAnsi"/>
          <w:i/>
          <w:iCs/>
          <w:sz w:val="20"/>
          <w:szCs w:val="20"/>
        </w:rPr>
        <w:t>Strategies to Rapidly Connect Jobseekers to Workers</w:t>
      </w:r>
    </w:p>
    <w:p w14:paraId="7633ADCC" w14:textId="77777777" w:rsidR="00FC4F8E" w:rsidRDefault="00FC4F8E" w:rsidP="00FC4F8E">
      <w:pPr>
        <w:pStyle w:val="NoSpacing"/>
        <w:numPr>
          <w:ilvl w:val="0"/>
          <w:numId w:val="17"/>
        </w:numPr>
        <w:rPr>
          <w:rFonts w:cstheme="minorHAnsi"/>
          <w:i/>
          <w:iCs/>
          <w:sz w:val="20"/>
          <w:szCs w:val="20"/>
        </w:rPr>
      </w:pPr>
      <w:r w:rsidRPr="003F404E">
        <w:rPr>
          <w:rFonts w:cstheme="minorHAnsi"/>
          <w:i/>
          <w:iCs/>
          <w:sz w:val="20"/>
          <w:szCs w:val="20"/>
        </w:rPr>
        <w:t>Strategies to Expand Supportive Services</w:t>
      </w:r>
    </w:p>
    <w:p w14:paraId="2E9BEF8C" w14:textId="77777777" w:rsidR="00FC4F8E" w:rsidRDefault="00FC4F8E" w:rsidP="00FC4F8E">
      <w:pPr>
        <w:pStyle w:val="NoSpacing"/>
        <w:numPr>
          <w:ilvl w:val="0"/>
          <w:numId w:val="17"/>
        </w:numPr>
        <w:rPr>
          <w:rFonts w:cstheme="minorHAnsi"/>
          <w:i/>
          <w:iCs/>
          <w:sz w:val="20"/>
          <w:szCs w:val="20"/>
        </w:rPr>
      </w:pPr>
      <w:r w:rsidRPr="00FC4F8E">
        <w:rPr>
          <w:rFonts w:cstheme="minorHAnsi"/>
          <w:i/>
          <w:iCs/>
          <w:sz w:val="20"/>
          <w:szCs w:val="20"/>
        </w:rPr>
        <w:t>Strategies to Support Workers in Targeted Industries</w:t>
      </w:r>
    </w:p>
    <w:p w14:paraId="54DC3524" w14:textId="5ACABC05" w:rsidR="00FC4F8E" w:rsidRPr="00FC4F8E" w:rsidRDefault="00FC4F8E" w:rsidP="00FC4F8E">
      <w:pPr>
        <w:pStyle w:val="NoSpacing"/>
        <w:numPr>
          <w:ilvl w:val="0"/>
          <w:numId w:val="17"/>
        </w:numPr>
        <w:rPr>
          <w:rFonts w:cstheme="minorHAnsi"/>
          <w:i/>
          <w:iCs/>
          <w:sz w:val="20"/>
          <w:szCs w:val="20"/>
        </w:rPr>
      </w:pPr>
      <w:r w:rsidRPr="00FC4F8E">
        <w:rPr>
          <w:rFonts w:cstheme="minorHAnsi"/>
          <w:i/>
          <w:iCs/>
          <w:sz w:val="20"/>
          <w:szCs w:val="20"/>
        </w:rPr>
        <w:t>Strategies to Support Employers</w:t>
      </w:r>
    </w:p>
    <w:p w14:paraId="3E8EFBD9" w14:textId="5910391E" w:rsidR="00FC4F8E" w:rsidRDefault="00FC4F8E" w:rsidP="00572419">
      <w:pPr>
        <w:pStyle w:val="NoSpacing"/>
        <w:rPr>
          <w:rStyle w:val="Heading2Char"/>
          <w:b w:val="0"/>
          <w:bCs/>
        </w:rPr>
      </w:pPr>
    </w:p>
    <w:p w14:paraId="5E6C1934" w14:textId="740FC08C" w:rsidR="00FC4F8E" w:rsidRDefault="00FC4F8E" w:rsidP="00572419">
      <w:pPr>
        <w:pStyle w:val="NoSpacing"/>
        <w:rPr>
          <w:rStyle w:val="Heading2Char"/>
          <w:b w:val="0"/>
          <w:bCs/>
        </w:rPr>
      </w:pPr>
    </w:p>
    <w:p w14:paraId="3A772BCE" w14:textId="77777777" w:rsidR="008B3CD7" w:rsidRDefault="008B3CD7">
      <w:pPr>
        <w:rPr>
          <w:rStyle w:val="Heading2Char"/>
        </w:rPr>
      </w:pPr>
      <w:r>
        <w:rPr>
          <w:rStyle w:val="Heading2Char"/>
        </w:rPr>
        <w:br w:type="page"/>
      </w:r>
    </w:p>
    <w:p w14:paraId="0ED54129" w14:textId="1F7E84F8" w:rsidR="00467F4C" w:rsidRDefault="00467F4C" w:rsidP="00572419">
      <w:pPr>
        <w:pStyle w:val="NoSpacing"/>
        <w:rPr>
          <w:rStyle w:val="Heading2Char"/>
          <w:b w:val="0"/>
          <w:bCs/>
        </w:rPr>
      </w:pPr>
      <w:r>
        <w:rPr>
          <w:rStyle w:val="Heading2Char"/>
        </w:rPr>
        <w:lastRenderedPageBreak/>
        <w:t xml:space="preserve">BUDGET: </w:t>
      </w:r>
      <w:r>
        <w:rPr>
          <w:rStyle w:val="Heading2Char"/>
          <w:b w:val="0"/>
          <w:bCs/>
        </w:rPr>
        <w:t>Complete the budget table and provide a brief narrative of the funding request.  Please make sure to provide enough detail to justify the reasonableness of the cost</w:t>
      </w:r>
      <w:r w:rsidR="00C00FDB">
        <w:rPr>
          <w:rStyle w:val="Heading2Char"/>
          <w:b w:val="0"/>
          <w:bCs/>
        </w:rPr>
        <w:t xml:space="preserve"> in the table or in the narrative below.  </w:t>
      </w:r>
      <w:r w:rsidR="008B3CD7">
        <w:rPr>
          <w:rStyle w:val="Heading2Char"/>
          <w:b w:val="0"/>
          <w:bCs/>
        </w:rPr>
        <w:t>Note that grantees will be required to submit a complete Budget using the State of Illinois Uniform Budget Template after DCEO makes a funding commitment.</w:t>
      </w:r>
    </w:p>
    <w:p w14:paraId="53BFF010" w14:textId="77777777" w:rsidR="00C00FDB" w:rsidRPr="00834DB0" w:rsidRDefault="00C00FDB" w:rsidP="00572419">
      <w:pPr>
        <w:pStyle w:val="NoSpacing"/>
        <w:rPr>
          <w:rStyle w:val="Heading2Char"/>
          <w:b w:val="0"/>
          <w:bCs/>
        </w:rPr>
      </w:pPr>
    </w:p>
    <w:tbl>
      <w:tblPr>
        <w:tblStyle w:val="TableGrid"/>
        <w:tblW w:w="0" w:type="auto"/>
        <w:tblLook w:val="04A0" w:firstRow="1" w:lastRow="0" w:firstColumn="1" w:lastColumn="0" w:noHBand="0" w:noVBand="1"/>
      </w:tblPr>
      <w:tblGrid>
        <w:gridCol w:w="3235"/>
        <w:gridCol w:w="1350"/>
        <w:gridCol w:w="4765"/>
      </w:tblGrid>
      <w:tr w:rsidR="00467F4C" w:rsidRPr="00070814" w14:paraId="71006F9E" w14:textId="77777777" w:rsidTr="002F7B6E">
        <w:trPr>
          <w:cantSplit/>
          <w:trHeight w:val="368"/>
        </w:trPr>
        <w:tc>
          <w:tcPr>
            <w:tcW w:w="3235" w:type="dxa"/>
            <w:hideMark/>
          </w:tcPr>
          <w:bookmarkEnd w:id="0"/>
          <w:p w14:paraId="1462AD2B" w14:textId="2D929001" w:rsidR="00467F4C" w:rsidRPr="0069668D" w:rsidRDefault="002F7B6E" w:rsidP="006912C2">
            <w:pPr>
              <w:rPr>
                <w:rFonts w:cstheme="minorHAnsi"/>
                <w:b/>
                <w:bCs/>
              </w:rPr>
            </w:pPr>
            <w:r>
              <w:rPr>
                <w:rFonts w:cstheme="minorHAnsi"/>
                <w:b/>
                <w:bCs/>
              </w:rPr>
              <w:t>BUDGET CATEGORIES</w:t>
            </w:r>
          </w:p>
        </w:tc>
        <w:tc>
          <w:tcPr>
            <w:tcW w:w="1350" w:type="dxa"/>
            <w:hideMark/>
          </w:tcPr>
          <w:p w14:paraId="39ACB49D" w14:textId="2D29EA0E" w:rsidR="00467F4C" w:rsidRPr="0069668D" w:rsidRDefault="002F7B6E" w:rsidP="006912C2">
            <w:pPr>
              <w:rPr>
                <w:rFonts w:cstheme="minorHAnsi"/>
                <w:b/>
                <w:bCs/>
              </w:rPr>
            </w:pPr>
            <w:r>
              <w:rPr>
                <w:rFonts w:cstheme="minorHAnsi"/>
                <w:b/>
                <w:bCs/>
              </w:rPr>
              <w:t>AMOUNT</w:t>
            </w:r>
          </w:p>
        </w:tc>
        <w:tc>
          <w:tcPr>
            <w:tcW w:w="4765" w:type="dxa"/>
            <w:hideMark/>
          </w:tcPr>
          <w:p w14:paraId="3199B6A4" w14:textId="566A6FBF" w:rsidR="00467F4C" w:rsidRPr="0069668D" w:rsidRDefault="002F7B6E" w:rsidP="006912C2">
            <w:pPr>
              <w:rPr>
                <w:rFonts w:cstheme="minorHAnsi"/>
                <w:b/>
                <w:bCs/>
              </w:rPr>
            </w:pPr>
            <w:r>
              <w:rPr>
                <w:rFonts w:cstheme="minorHAnsi"/>
                <w:b/>
                <w:bCs/>
              </w:rPr>
              <w:t>NARRATIVE</w:t>
            </w:r>
          </w:p>
        </w:tc>
      </w:tr>
      <w:tr w:rsidR="00467F4C" w:rsidRPr="00070814" w14:paraId="17EC7A0D" w14:textId="77777777" w:rsidTr="002F7B6E">
        <w:trPr>
          <w:cantSplit/>
          <w:trHeight w:val="300"/>
        </w:trPr>
        <w:tc>
          <w:tcPr>
            <w:tcW w:w="3235" w:type="dxa"/>
            <w:noWrap/>
            <w:hideMark/>
          </w:tcPr>
          <w:p w14:paraId="38C6E986" w14:textId="04FD86E9" w:rsidR="00467F4C" w:rsidRPr="00070814" w:rsidRDefault="000D4A31" w:rsidP="006912C2">
            <w:r>
              <w:t>Personnel</w:t>
            </w:r>
          </w:p>
        </w:tc>
        <w:tc>
          <w:tcPr>
            <w:tcW w:w="1350" w:type="dxa"/>
            <w:noWrap/>
            <w:hideMark/>
          </w:tcPr>
          <w:p w14:paraId="41F98D86" w14:textId="5E1CBA42" w:rsidR="00467F4C" w:rsidRPr="00070814" w:rsidRDefault="00FF5796" w:rsidP="006912C2">
            <w:r>
              <w:t>$</w:t>
            </w:r>
          </w:p>
        </w:tc>
        <w:tc>
          <w:tcPr>
            <w:tcW w:w="4765" w:type="dxa"/>
            <w:noWrap/>
            <w:hideMark/>
          </w:tcPr>
          <w:p w14:paraId="1DB73156" w14:textId="3251571E" w:rsidR="00467F4C" w:rsidRPr="00070814" w:rsidRDefault="00467F4C" w:rsidP="006912C2"/>
        </w:tc>
      </w:tr>
      <w:tr w:rsidR="00BB13BC" w:rsidRPr="00070814" w14:paraId="0EAB73E2" w14:textId="77777777" w:rsidTr="002F7B6E">
        <w:trPr>
          <w:cantSplit/>
          <w:trHeight w:val="300"/>
        </w:trPr>
        <w:tc>
          <w:tcPr>
            <w:tcW w:w="3235" w:type="dxa"/>
            <w:noWrap/>
            <w:hideMark/>
          </w:tcPr>
          <w:p w14:paraId="6612F4F9" w14:textId="3BC3EB7D" w:rsidR="00BB13BC" w:rsidRPr="00070814" w:rsidRDefault="000D4A31" w:rsidP="00BB13BC">
            <w:r>
              <w:t>Fringe Benefits</w:t>
            </w:r>
          </w:p>
        </w:tc>
        <w:tc>
          <w:tcPr>
            <w:tcW w:w="1350" w:type="dxa"/>
            <w:noWrap/>
            <w:hideMark/>
          </w:tcPr>
          <w:p w14:paraId="004CF3C4" w14:textId="1E4B82E9" w:rsidR="00BB13BC" w:rsidRPr="00070814" w:rsidRDefault="00284041" w:rsidP="00BB13BC">
            <w:r>
              <w:t>$</w:t>
            </w:r>
          </w:p>
        </w:tc>
        <w:tc>
          <w:tcPr>
            <w:tcW w:w="4765" w:type="dxa"/>
            <w:noWrap/>
            <w:hideMark/>
          </w:tcPr>
          <w:p w14:paraId="23304A9F" w14:textId="423249F1" w:rsidR="00BB13BC" w:rsidRPr="00070814" w:rsidRDefault="00BB13BC" w:rsidP="00BB13BC"/>
        </w:tc>
      </w:tr>
      <w:tr w:rsidR="00BB13BC" w:rsidRPr="00070814" w14:paraId="363061D4" w14:textId="77777777" w:rsidTr="002F7B6E">
        <w:trPr>
          <w:cantSplit/>
          <w:trHeight w:val="300"/>
        </w:trPr>
        <w:tc>
          <w:tcPr>
            <w:tcW w:w="3235" w:type="dxa"/>
            <w:noWrap/>
            <w:hideMark/>
          </w:tcPr>
          <w:p w14:paraId="628956DA" w14:textId="6166874C" w:rsidR="00BB13BC" w:rsidRPr="00070814" w:rsidRDefault="000D4A31" w:rsidP="00BB13BC">
            <w:r>
              <w:t>Direct Training</w:t>
            </w:r>
          </w:p>
        </w:tc>
        <w:tc>
          <w:tcPr>
            <w:tcW w:w="1350" w:type="dxa"/>
            <w:noWrap/>
            <w:hideMark/>
          </w:tcPr>
          <w:p w14:paraId="49D5DA69" w14:textId="1A2A4972" w:rsidR="00BB13BC" w:rsidRPr="00070814" w:rsidRDefault="00FF5796" w:rsidP="00BB13BC">
            <w:r>
              <w:t>$</w:t>
            </w:r>
          </w:p>
        </w:tc>
        <w:tc>
          <w:tcPr>
            <w:tcW w:w="4765" w:type="dxa"/>
            <w:noWrap/>
            <w:hideMark/>
          </w:tcPr>
          <w:p w14:paraId="2C28D998" w14:textId="0BE6FD68" w:rsidR="00BB13BC" w:rsidRPr="00070814" w:rsidRDefault="00BB13BC" w:rsidP="00BB13BC"/>
        </w:tc>
      </w:tr>
      <w:tr w:rsidR="00BB13BC" w:rsidRPr="00070814" w14:paraId="11247430" w14:textId="77777777" w:rsidTr="002F7B6E">
        <w:trPr>
          <w:cantSplit/>
          <w:trHeight w:val="300"/>
        </w:trPr>
        <w:tc>
          <w:tcPr>
            <w:tcW w:w="3235" w:type="dxa"/>
            <w:noWrap/>
            <w:hideMark/>
          </w:tcPr>
          <w:p w14:paraId="7925D209" w14:textId="2E373C88" w:rsidR="00BB13BC" w:rsidRPr="00070814" w:rsidRDefault="000D4A31" w:rsidP="00BB13BC">
            <w:r>
              <w:t>Work</w:t>
            </w:r>
            <w:r w:rsidR="00B34A1E">
              <w:t>-</w:t>
            </w:r>
            <w:r>
              <w:t xml:space="preserve">Based </w:t>
            </w:r>
            <w:r w:rsidR="0038791F">
              <w:t>Training</w:t>
            </w:r>
          </w:p>
        </w:tc>
        <w:tc>
          <w:tcPr>
            <w:tcW w:w="1350" w:type="dxa"/>
            <w:noWrap/>
            <w:hideMark/>
          </w:tcPr>
          <w:p w14:paraId="3AF7A32C" w14:textId="77D16338" w:rsidR="00BB13BC" w:rsidRPr="00070814" w:rsidRDefault="00FF5796" w:rsidP="00BB13BC">
            <w:r>
              <w:t>$</w:t>
            </w:r>
          </w:p>
        </w:tc>
        <w:tc>
          <w:tcPr>
            <w:tcW w:w="4765" w:type="dxa"/>
            <w:noWrap/>
            <w:hideMark/>
          </w:tcPr>
          <w:p w14:paraId="493BAB39" w14:textId="22939A55" w:rsidR="00BB13BC" w:rsidRPr="00070814" w:rsidRDefault="00BB13BC" w:rsidP="00BB13BC"/>
        </w:tc>
      </w:tr>
      <w:tr w:rsidR="00BB13BC" w:rsidRPr="00070814" w14:paraId="58C49159" w14:textId="77777777" w:rsidTr="002F7B6E">
        <w:trPr>
          <w:cantSplit/>
          <w:trHeight w:val="300"/>
        </w:trPr>
        <w:tc>
          <w:tcPr>
            <w:tcW w:w="3235" w:type="dxa"/>
            <w:noWrap/>
            <w:hideMark/>
          </w:tcPr>
          <w:p w14:paraId="3E8A1E0B" w14:textId="39777B79" w:rsidR="00BB13BC" w:rsidRPr="00070814" w:rsidRDefault="0038791F" w:rsidP="00BB13BC">
            <w:r>
              <w:t>Other Program Costs</w:t>
            </w:r>
          </w:p>
        </w:tc>
        <w:tc>
          <w:tcPr>
            <w:tcW w:w="1350" w:type="dxa"/>
            <w:noWrap/>
            <w:hideMark/>
          </w:tcPr>
          <w:p w14:paraId="53AF6635" w14:textId="52A14386" w:rsidR="00BB13BC" w:rsidRPr="00070814" w:rsidRDefault="00FF5796" w:rsidP="00BB13BC">
            <w:r>
              <w:t>$</w:t>
            </w:r>
          </w:p>
        </w:tc>
        <w:tc>
          <w:tcPr>
            <w:tcW w:w="4765" w:type="dxa"/>
            <w:noWrap/>
            <w:hideMark/>
          </w:tcPr>
          <w:p w14:paraId="0AF0F3C5" w14:textId="2E5FA6F6" w:rsidR="00BB13BC" w:rsidRPr="00070814" w:rsidRDefault="00BB13BC" w:rsidP="00BB13BC"/>
        </w:tc>
      </w:tr>
      <w:tr w:rsidR="0038791F" w:rsidRPr="00070814" w14:paraId="19540E29" w14:textId="77777777" w:rsidTr="002F7B6E">
        <w:trPr>
          <w:cantSplit/>
          <w:trHeight w:val="300"/>
        </w:trPr>
        <w:tc>
          <w:tcPr>
            <w:tcW w:w="3235" w:type="dxa"/>
            <w:noWrap/>
          </w:tcPr>
          <w:p w14:paraId="1AC1389B" w14:textId="084E333F" w:rsidR="0038791F" w:rsidRDefault="00BD2D31" w:rsidP="00BB13BC">
            <w:r>
              <w:t>Supportive Services</w:t>
            </w:r>
          </w:p>
        </w:tc>
        <w:tc>
          <w:tcPr>
            <w:tcW w:w="1350" w:type="dxa"/>
            <w:noWrap/>
          </w:tcPr>
          <w:p w14:paraId="01A5420B" w14:textId="7789806D" w:rsidR="0038791F" w:rsidRDefault="0038791F" w:rsidP="00BB13BC">
            <w:r>
              <w:t>$</w:t>
            </w:r>
          </w:p>
        </w:tc>
        <w:tc>
          <w:tcPr>
            <w:tcW w:w="4765" w:type="dxa"/>
            <w:noWrap/>
          </w:tcPr>
          <w:p w14:paraId="3BE34829" w14:textId="77777777" w:rsidR="0038791F" w:rsidRPr="00070814" w:rsidRDefault="0038791F" w:rsidP="00BB13BC"/>
        </w:tc>
      </w:tr>
      <w:tr w:rsidR="00BD2D31" w:rsidRPr="00070814" w14:paraId="5F57147E" w14:textId="77777777" w:rsidTr="002F7B6E">
        <w:trPr>
          <w:cantSplit/>
          <w:trHeight w:val="300"/>
        </w:trPr>
        <w:tc>
          <w:tcPr>
            <w:tcW w:w="3235" w:type="dxa"/>
            <w:noWrap/>
          </w:tcPr>
          <w:p w14:paraId="58F7458B" w14:textId="6A6F9C1B" w:rsidR="00BD2D31" w:rsidRDefault="00BD2D31" w:rsidP="00BD2D31">
            <w:r>
              <w:t>Direct Administration</w:t>
            </w:r>
          </w:p>
        </w:tc>
        <w:tc>
          <w:tcPr>
            <w:tcW w:w="1350" w:type="dxa"/>
            <w:noWrap/>
          </w:tcPr>
          <w:p w14:paraId="2133C82E" w14:textId="23493F6F" w:rsidR="00BD2D31" w:rsidRDefault="00BD2D31" w:rsidP="00BD2D31">
            <w:r>
              <w:t>$</w:t>
            </w:r>
          </w:p>
        </w:tc>
        <w:tc>
          <w:tcPr>
            <w:tcW w:w="4765" w:type="dxa"/>
            <w:noWrap/>
          </w:tcPr>
          <w:p w14:paraId="5A9348A7" w14:textId="77777777" w:rsidR="00BD2D31" w:rsidRPr="00070814" w:rsidRDefault="00BD2D31" w:rsidP="00BD2D31"/>
        </w:tc>
      </w:tr>
      <w:tr w:rsidR="00BD2D31" w:rsidRPr="00070814" w14:paraId="624EFC47" w14:textId="77777777" w:rsidTr="002F7B6E">
        <w:trPr>
          <w:cantSplit/>
          <w:trHeight w:val="300"/>
        </w:trPr>
        <w:tc>
          <w:tcPr>
            <w:tcW w:w="3235" w:type="dxa"/>
            <w:noWrap/>
            <w:hideMark/>
          </w:tcPr>
          <w:p w14:paraId="000EF295" w14:textId="3C83D367" w:rsidR="00BD2D31" w:rsidRPr="00070814" w:rsidRDefault="00BD2D31" w:rsidP="00BD2D31">
            <w:pPr>
              <w:rPr>
                <w:b/>
                <w:bCs/>
              </w:rPr>
            </w:pPr>
            <w:r>
              <w:t>Indirect Costs</w:t>
            </w:r>
          </w:p>
        </w:tc>
        <w:tc>
          <w:tcPr>
            <w:tcW w:w="1350" w:type="dxa"/>
            <w:noWrap/>
            <w:hideMark/>
          </w:tcPr>
          <w:p w14:paraId="587CDD00" w14:textId="4188AE2B" w:rsidR="00BD2D31" w:rsidRPr="00070814" w:rsidRDefault="00BD2D31" w:rsidP="00BD2D31">
            <w:pPr>
              <w:rPr>
                <w:b/>
                <w:bCs/>
              </w:rPr>
            </w:pPr>
            <w:r>
              <w:t>$</w:t>
            </w:r>
          </w:p>
        </w:tc>
        <w:tc>
          <w:tcPr>
            <w:tcW w:w="4765" w:type="dxa"/>
            <w:noWrap/>
            <w:hideMark/>
          </w:tcPr>
          <w:p w14:paraId="49371C8C" w14:textId="521A88D2" w:rsidR="00BD2D31" w:rsidRPr="00070814" w:rsidRDefault="00BD2D31" w:rsidP="00BD2D31">
            <w:pPr>
              <w:rPr>
                <w:b/>
                <w:bCs/>
              </w:rPr>
            </w:pPr>
          </w:p>
        </w:tc>
      </w:tr>
      <w:tr w:rsidR="00BD2D31" w:rsidRPr="00070814" w14:paraId="5CEA4323" w14:textId="77777777" w:rsidTr="002F7B6E">
        <w:trPr>
          <w:cantSplit/>
          <w:trHeight w:val="315"/>
        </w:trPr>
        <w:tc>
          <w:tcPr>
            <w:tcW w:w="3235" w:type="dxa"/>
            <w:noWrap/>
            <w:hideMark/>
          </w:tcPr>
          <w:p w14:paraId="0B310C55" w14:textId="164636A0" w:rsidR="00BD2D31" w:rsidRPr="00070814" w:rsidRDefault="00BD2D31" w:rsidP="00BD2D31"/>
        </w:tc>
        <w:tc>
          <w:tcPr>
            <w:tcW w:w="1350" w:type="dxa"/>
            <w:noWrap/>
            <w:hideMark/>
          </w:tcPr>
          <w:p w14:paraId="73B2D8DD" w14:textId="0753D6EA" w:rsidR="00BD2D31" w:rsidRPr="00070814" w:rsidRDefault="00BD2D31" w:rsidP="00BD2D31">
            <w:pPr>
              <w:rPr>
                <w:b/>
                <w:bCs/>
              </w:rPr>
            </w:pPr>
            <w:r>
              <w:t>$</w:t>
            </w:r>
          </w:p>
        </w:tc>
        <w:tc>
          <w:tcPr>
            <w:tcW w:w="4765" w:type="dxa"/>
            <w:noWrap/>
          </w:tcPr>
          <w:p w14:paraId="2F369B22" w14:textId="36687333" w:rsidR="00BD2D31" w:rsidRPr="00070814" w:rsidRDefault="00BD2D31" w:rsidP="00BD2D31">
            <w:pPr>
              <w:rPr>
                <w:b/>
                <w:bCs/>
              </w:rPr>
            </w:pPr>
          </w:p>
        </w:tc>
      </w:tr>
      <w:tr w:rsidR="00BD2D31" w:rsidRPr="00070814" w14:paraId="3EC41E4C" w14:textId="77777777" w:rsidTr="002F7B6E">
        <w:trPr>
          <w:cantSplit/>
          <w:trHeight w:val="330"/>
        </w:trPr>
        <w:tc>
          <w:tcPr>
            <w:tcW w:w="3235" w:type="dxa"/>
            <w:noWrap/>
            <w:hideMark/>
          </w:tcPr>
          <w:p w14:paraId="221E831D" w14:textId="77777777" w:rsidR="00BD2D31" w:rsidRPr="0069668D" w:rsidRDefault="00BD2D31" w:rsidP="00BD2D31">
            <w:pPr>
              <w:rPr>
                <w:rFonts w:cstheme="minorHAnsi"/>
                <w:b/>
                <w:bCs/>
              </w:rPr>
            </w:pPr>
            <w:r w:rsidRPr="0069668D">
              <w:rPr>
                <w:rFonts w:cstheme="minorHAnsi"/>
                <w:b/>
                <w:bCs/>
              </w:rPr>
              <w:t xml:space="preserve">GRAND TOTAL </w:t>
            </w:r>
          </w:p>
        </w:tc>
        <w:tc>
          <w:tcPr>
            <w:tcW w:w="1350" w:type="dxa"/>
            <w:noWrap/>
          </w:tcPr>
          <w:p w14:paraId="0798AA82" w14:textId="18BDDB29" w:rsidR="00BD2D31" w:rsidRPr="00070814" w:rsidRDefault="00BD2D31" w:rsidP="00BD2D31">
            <w:pPr>
              <w:rPr>
                <w:b/>
                <w:bCs/>
              </w:rPr>
            </w:pPr>
            <w:r>
              <w:rPr>
                <w:b/>
                <w:bCs/>
              </w:rPr>
              <w:t>$</w:t>
            </w:r>
          </w:p>
        </w:tc>
        <w:tc>
          <w:tcPr>
            <w:tcW w:w="4765" w:type="dxa"/>
            <w:shd w:val="clear" w:color="auto" w:fill="A6A6A6" w:themeFill="background1" w:themeFillShade="A6"/>
            <w:noWrap/>
          </w:tcPr>
          <w:p w14:paraId="06D1EED5" w14:textId="28E94050" w:rsidR="00BD2D31" w:rsidRPr="001F4F8D" w:rsidRDefault="00BD2D31" w:rsidP="00BD2D31">
            <w:pPr>
              <w:rPr>
                <w:b/>
                <w:bCs/>
                <w:color w:val="000000" w:themeColor="text1"/>
              </w:rPr>
            </w:pPr>
          </w:p>
        </w:tc>
      </w:tr>
    </w:tbl>
    <w:p w14:paraId="5B08B32C" w14:textId="77777777" w:rsidR="00C00FDB" w:rsidRDefault="00C00FDB" w:rsidP="00572419">
      <w:pPr>
        <w:pStyle w:val="NoSpacing"/>
        <w:rPr>
          <w:b/>
          <w:bCs/>
        </w:rPr>
      </w:pPr>
    </w:p>
    <w:p w14:paraId="624BE304" w14:textId="77777777" w:rsidR="002F7B6E" w:rsidRDefault="002F7B6E" w:rsidP="00572419">
      <w:pPr>
        <w:pStyle w:val="NoSpacing"/>
        <w:rPr>
          <w:b/>
          <w:bCs/>
        </w:rPr>
      </w:pPr>
    </w:p>
    <w:p w14:paraId="447E3675" w14:textId="3C03366E" w:rsidR="00572419" w:rsidRPr="00834DB0" w:rsidRDefault="00572419" w:rsidP="00572419">
      <w:pPr>
        <w:pStyle w:val="NoSpacing"/>
        <w:rPr>
          <w:b/>
          <w:bCs/>
        </w:rPr>
      </w:pPr>
      <w:r w:rsidRPr="00834DB0">
        <w:rPr>
          <w:b/>
          <w:bCs/>
        </w:rPr>
        <w:t>COMPANY CERTIFICATIONS</w:t>
      </w:r>
      <w:r w:rsidR="00A60264">
        <w:rPr>
          <w:b/>
          <w:bCs/>
        </w:rPr>
        <w:t xml:space="preserve"> AND COMMITMENTS</w:t>
      </w:r>
    </w:p>
    <w:p w14:paraId="004C9C4B" w14:textId="2EE3B8D6" w:rsidR="00572419" w:rsidRPr="00021FA5" w:rsidRDefault="0038791F" w:rsidP="00572419">
      <w:pPr>
        <w:pStyle w:val="NoSpacing"/>
      </w:pPr>
      <w:r>
        <w:t xml:space="preserve">Note that </w:t>
      </w:r>
      <w:r w:rsidR="00572419">
        <w:t>companies</w:t>
      </w:r>
      <w:r w:rsidR="00C00FDB">
        <w:t xml:space="preserve"> that are served</w:t>
      </w:r>
      <w:r w:rsidR="00572419" w:rsidRPr="00021FA5">
        <w:t xml:space="preserve"> must be in compliance, or agree to comply, with the following federal and state laws and related regulations (as applicable) in order to be considered for an award:</w:t>
      </w:r>
    </w:p>
    <w:p w14:paraId="16148725" w14:textId="77777777" w:rsidR="00572419" w:rsidRPr="00021FA5" w:rsidRDefault="00572419" w:rsidP="00572419">
      <w:pPr>
        <w:pStyle w:val="NoSpacing"/>
        <w:numPr>
          <w:ilvl w:val="0"/>
          <w:numId w:val="8"/>
        </w:numPr>
      </w:pPr>
      <w:r w:rsidRPr="00021FA5">
        <w:t>Workforce Innovation and Opportunity Act (Public Law 113-128) and applicable regulations;</w:t>
      </w:r>
    </w:p>
    <w:p w14:paraId="2C915C21" w14:textId="77777777" w:rsidR="00572419" w:rsidRPr="00021FA5" w:rsidRDefault="00572419" w:rsidP="00572419">
      <w:pPr>
        <w:pStyle w:val="NoSpacing"/>
        <w:numPr>
          <w:ilvl w:val="0"/>
          <w:numId w:val="8"/>
        </w:numPr>
      </w:pPr>
      <w:r w:rsidRPr="00021FA5">
        <w:t xml:space="preserve">Equal Employment Opportunity/Nondiscrimination Provision and will comply with the physical, programmatic and accessibility requirements; </w:t>
      </w:r>
    </w:p>
    <w:p w14:paraId="5F881CFC" w14:textId="77777777" w:rsidR="00572419" w:rsidRPr="00021FA5" w:rsidRDefault="00572419" w:rsidP="00572419">
      <w:pPr>
        <w:pStyle w:val="NoSpacing"/>
        <w:numPr>
          <w:ilvl w:val="0"/>
          <w:numId w:val="8"/>
        </w:numPr>
      </w:pPr>
      <w:r w:rsidRPr="00021FA5">
        <w:t xml:space="preserve">Protection of Personally Identifiable Information; </w:t>
      </w:r>
    </w:p>
    <w:p w14:paraId="03CCC80B" w14:textId="77777777" w:rsidR="00572419" w:rsidRPr="00021FA5" w:rsidRDefault="00572419" w:rsidP="00572419">
      <w:pPr>
        <w:pStyle w:val="NoSpacing"/>
        <w:numPr>
          <w:ilvl w:val="0"/>
          <w:numId w:val="8"/>
        </w:numPr>
      </w:pPr>
      <w:r w:rsidRPr="00021FA5">
        <w:t xml:space="preserve">Jobs for Veteran Act (Public Law 107-288); </w:t>
      </w:r>
    </w:p>
    <w:p w14:paraId="6222EEF6" w14:textId="77777777" w:rsidR="00572419" w:rsidRPr="00021FA5" w:rsidRDefault="00572419" w:rsidP="00572419">
      <w:pPr>
        <w:pStyle w:val="NoSpacing"/>
        <w:numPr>
          <w:ilvl w:val="0"/>
          <w:numId w:val="8"/>
        </w:numPr>
      </w:pPr>
      <w:r w:rsidRPr="00021FA5">
        <w:t xml:space="preserve">Flood Disaster Protection Act of 1973 as amended (42 U.S.C 4001); </w:t>
      </w:r>
    </w:p>
    <w:p w14:paraId="71365092" w14:textId="77777777" w:rsidR="00572419" w:rsidRPr="00021FA5" w:rsidRDefault="00572419" w:rsidP="00572419">
      <w:pPr>
        <w:pStyle w:val="NoSpacing"/>
        <w:numPr>
          <w:ilvl w:val="0"/>
          <w:numId w:val="8"/>
        </w:numPr>
      </w:pPr>
      <w:r w:rsidRPr="00021FA5">
        <w:t xml:space="preserve">Architectural Barriers Act of 1968 as amended (42 USC 4151); </w:t>
      </w:r>
    </w:p>
    <w:p w14:paraId="4BBDDEE2" w14:textId="77777777" w:rsidR="00572419" w:rsidRPr="00021FA5" w:rsidRDefault="00572419" w:rsidP="00572419">
      <w:pPr>
        <w:pStyle w:val="NoSpacing"/>
        <w:numPr>
          <w:ilvl w:val="0"/>
          <w:numId w:val="8"/>
        </w:numPr>
      </w:pPr>
      <w:r w:rsidRPr="00021FA5">
        <w:t xml:space="preserve">Drug-Free Workplace Act of 1988 (41 USC 702 et seq., and 2 CFR § 182); </w:t>
      </w:r>
    </w:p>
    <w:p w14:paraId="4E1C6908" w14:textId="77777777" w:rsidR="00572419" w:rsidRPr="00021FA5" w:rsidRDefault="00572419" w:rsidP="00572419">
      <w:pPr>
        <w:pStyle w:val="NoSpacing"/>
        <w:numPr>
          <w:ilvl w:val="0"/>
          <w:numId w:val="8"/>
        </w:numPr>
      </w:pPr>
      <w:r w:rsidRPr="00021FA5">
        <w:t xml:space="preserve">Hotel Motel Fire Safety Act (15 USC 2225a); </w:t>
      </w:r>
    </w:p>
    <w:p w14:paraId="32F62515" w14:textId="77777777" w:rsidR="00572419" w:rsidRPr="00021FA5" w:rsidRDefault="00572419" w:rsidP="00572419">
      <w:pPr>
        <w:pStyle w:val="NoSpacing"/>
        <w:numPr>
          <w:ilvl w:val="0"/>
          <w:numId w:val="8"/>
        </w:numPr>
      </w:pPr>
      <w:r w:rsidRPr="00021FA5">
        <w:t xml:space="preserve">Buy American Act (41 U.S.C 10a); </w:t>
      </w:r>
    </w:p>
    <w:p w14:paraId="27F973EB" w14:textId="77777777" w:rsidR="00572419" w:rsidRPr="00021FA5" w:rsidRDefault="00572419" w:rsidP="00572419">
      <w:pPr>
        <w:pStyle w:val="NoSpacing"/>
        <w:numPr>
          <w:ilvl w:val="0"/>
          <w:numId w:val="8"/>
        </w:numPr>
      </w:pPr>
      <w:r w:rsidRPr="00021FA5">
        <w:t xml:space="preserve">Copeland "Anti-Kickback" Act (18 USC 874 and 40 USC 276c); </w:t>
      </w:r>
    </w:p>
    <w:p w14:paraId="27E0B752" w14:textId="77777777" w:rsidR="00572419" w:rsidRPr="00021FA5" w:rsidRDefault="00572419" w:rsidP="00572419">
      <w:pPr>
        <w:pStyle w:val="NoSpacing"/>
        <w:numPr>
          <w:ilvl w:val="0"/>
          <w:numId w:val="8"/>
        </w:numPr>
      </w:pPr>
      <w:r w:rsidRPr="00021FA5">
        <w:t xml:space="preserve">Davis-Bacon Act, as amended (40 USC 276a to a-7); </w:t>
      </w:r>
    </w:p>
    <w:p w14:paraId="72E57A0F" w14:textId="77777777" w:rsidR="00572419" w:rsidRPr="00021FA5" w:rsidRDefault="00572419" w:rsidP="00572419">
      <w:pPr>
        <w:pStyle w:val="NoSpacing"/>
        <w:numPr>
          <w:ilvl w:val="0"/>
          <w:numId w:val="8"/>
        </w:numPr>
      </w:pPr>
      <w:r w:rsidRPr="00021FA5">
        <w:t xml:space="preserve">Contract Work Hours and Safety Standards Act (40 USC 327-333); </w:t>
      </w:r>
    </w:p>
    <w:p w14:paraId="68889745" w14:textId="77777777" w:rsidR="00572419" w:rsidRPr="00021FA5" w:rsidRDefault="00572419" w:rsidP="00572419">
      <w:pPr>
        <w:pStyle w:val="NoSpacing"/>
        <w:numPr>
          <w:ilvl w:val="0"/>
          <w:numId w:val="8"/>
        </w:numPr>
      </w:pPr>
      <w:r w:rsidRPr="00021FA5">
        <w:t xml:space="preserve">Rights to Inventions Made Under a Contract or Agreement; </w:t>
      </w:r>
    </w:p>
    <w:p w14:paraId="5B201BCA" w14:textId="77777777" w:rsidR="00572419" w:rsidRPr="00021FA5" w:rsidRDefault="00572419" w:rsidP="00572419">
      <w:pPr>
        <w:pStyle w:val="NoSpacing"/>
        <w:numPr>
          <w:ilvl w:val="0"/>
          <w:numId w:val="8"/>
        </w:numPr>
      </w:pPr>
      <w:r w:rsidRPr="00021FA5">
        <w:t xml:space="preserve">Clean Air Act (42 USC 7401 et seq.) and the Federal Water Pollution Control Act (33 USC 1251 et seq.), as amended; </w:t>
      </w:r>
    </w:p>
    <w:p w14:paraId="79D6F988" w14:textId="77777777" w:rsidR="00572419" w:rsidRPr="00021FA5" w:rsidRDefault="00572419" w:rsidP="00572419">
      <w:pPr>
        <w:pStyle w:val="NoSpacing"/>
        <w:numPr>
          <w:ilvl w:val="0"/>
          <w:numId w:val="8"/>
        </w:numPr>
      </w:pPr>
      <w:r w:rsidRPr="00021FA5">
        <w:t xml:space="preserve">Byrd Anti-Lobbying Amendment (31 USC 1352); </w:t>
      </w:r>
    </w:p>
    <w:p w14:paraId="472FDEDA" w14:textId="77777777" w:rsidR="00572419" w:rsidRPr="00021FA5" w:rsidRDefault="00572419" w:rsidP="00572419">
      <w:pPr>
        <w:pStyle w:val="NoSpacing"/>
        <w:numPr>
          <w:ilvl w:val="0"/>
          <w:numId w:val="8"/>
        </w:numPr>
      </w:pPr>
      <w:r w:rsidRPr="00021FA5">
        <w:t xml:space="preserve">Uniform Administrative Requirements found at 2 CFR Part 200 and the US Department of Labor Exceptions found at 2 CFR Part 2900; </w:t>
      </w:r>
    </w:p>
    <w:p w14:paraId="12852232" w14:textId="17129594" w:rsidR="00572419" w:rsidRPr="00021FA5" w:rsidRDefault="00572419" w:rsidP="00572419">
      <w:pPr>
        <w:pStyle w:val="NoSpacing"/>
        <w:numPr>
          <w:ilvl w:val="0"/>
          <w:numId w:val="8"/>
        </w:numPr>
      </w:pPr>
      <w:r w:rsidRPr="00021FA5">
        <w:t xml:space="preserve">Applicable State of Illinois Laws; </w:t>
      </w:r>
    </w:p>
    <w:p w14:paraId="1C1DC6C8" w14:textId="3FDD0824" w:rsidR="00AB789D" w:rsidRDefault="00572419" w:rsidP="00572419">
      <w:pPr>
        <w:pStyle w:val="NoSpacing"/>
        <w:numPr>
          <w:ilvl w:val="0"/>
          <w:numId w:val="8"/>
        </w:numPr>
      </w:pPr>
      <w:r w:rsidRPr="00021FA5">
        <w:t>State Workforce Innovation and Opportunity Act Policies</w:t>
      </w:r>
      <w:r w:rsidR="00FD572A">
        <w:t xml:space="preserve">; </w:t>
      </w:r>
      <w:r w:rsidR="00ED01EE">
        <w:t>and</w:t>
      </w:r>
    </w:p>
    <w:p w14:paraId="187D9934" w14:textId="26FB0068" w:rsidR="00572419" w:rsidRDefault="00AB789D" w:rsidP="00572419">
      <w:pPr>
        <w:pStyle w:val="NoSpacing"/>
        <w:numPr>
          <w:ilvl w:val="0"/>
          <w:numId w:val="8"/>
        </w:numPr>
      </w:pPr>
      <w:r>
        <w:t>Illinois Executive Order 2020-10 (COVID-19 Stay-at-</w:t>
      </w:r>
      <w:r w:rsidR="00F3095C">
        <w:t>H</w:t>
      </w:r>
      <w:r>
        <w:t>ome Order)</w:t>
      </w:r>
      <w:r w:rsidR="00ED01EE">
        <w:t>.</w:t>
      </w:r>
      <w:r>
        <w:t xml:space="preserve"> </w:t>
      </w:r>
    </w:p>
    <w:p w14:paraId="4525CE91" w14:textId="77777777" w:rsidR="00826F02" w:rsidRPr="00574AB5" w:rsidRDefault="00826F02" w:rsidP="00574AB5">
      <w:pPr>
        <w:pStyle w:val="NoSpacing"/>
        <w:ind w:left="720"/>
        <w:rPr>
          <w:b/>
          <w:bCs/>
        </w:rPr>
      </w:pPr>
    </w:p>
    <w:p w14:paraId="125612E2" w14:textId="592C50E4" w:rsidR="00431CFB" w:rsidRPr="00DE4806" w:rsidRDefault="00431CFB" w:rsidP="009904C2">
      <w:pPr>
        <w:spacing w:after="0" w:line="240" w:lineRule="auto"/>
        <w:rPr>
          <w:b/>
        </w:rPr>
      </w:pPr>
      <w:r w:rsidRPr="00DE4806">
        <w:rPr>
          <w:b/>
        </w:rPr>
        <w:lastRenderedPageBreak/>
        <w:t>LAYOFF AVERSION RISK FACTORS</w:t>
      </w:r>
    </w:p>
    <w:p w14:paraId="2FE641B7" w14:textId="0D4AD8EC" w:rsidR="009904C2" w:rsidRPr="00DE4806" w:rsidRDefault="00360186" w:rsidP="002F7B6E">
      <w:pPr>
        <w:spacing w:after="0" w:line="240" w:lineRule="auto"/>
        <w:rPr>
          <w:bCs/>
        </w:rPr>
      </w:pPr>
      <w:r>
        <w:rPr>
          <w:bCs/>
        </w:rPr>
        <w:t>Projects that are providing layoff aversion activities should c</w:t>
      </w:r>
      <w:r w:rsidR="009904C2" w:rsidRPr="00DE4806">
        <w:rPr>
          <w:bCs/>
        </w:rPr>
        <w:t xml:space="preserve">heck the layoff aversion “at-risk” indicator(s) below that are applicable </w:t>
      </w:r>
      <w:r w:rsidR="00711978">
        <w:rPr>
          <w:bCs/>
        </w:rPr>
        <w:t xml:space="preserve">for the proposed </w:t>
      </w:r>
      <w:r w:rsidR="002F7B6E">
        <w:rPr>
          <w:bCs/>
        </w:rPr>
        <w:t>projects (</w:t>
      </w:r>
      <w:r w:rsidR="009904C2" w:rsidRPr="00DE4806">
        <w:rPr>
          <w:bCs/>
        </w:rPr>
        <w:t>check</w:t>
      </w:r>
      <w:r w:rsidR="00431CFB" w:rsidRPr="00DE4806">
        <w:rPr>
          <w:bCs/>
        </w:rPr>
        <w:t xml:space="preserve"> as many as applicable</w:t>
      </w:r>
      <w:r w:rsidR="002F7B6E">
        <w:rPr>
          <w:bCs/>
        </w:rPr>
        <w:t>)</w:t>
      </w:r>
    </w:p>
    <w:p w14:paraId="0B69D9FC" w14:textId="77777777" w:rsidR="009904C2" w:rsidRPr="00DE4806" w:rsidRDefault="009904C2" w:rsidP="009904C2">
      <w:pPr>
        <w:autoSpaceDE w:val="0"/>
        <w:autoSpaceDN w:val="0"/>
        <w:adjustRightInd w:val="0"/>
        <w:spacing w:after="0" w:line="240" w:lineRule="auto"/>
        <w:ind w:left="360" w:right="123" w:hanging="360"/>
        <w:contextualSpacing/>
        <w:rPr>
          <w:rFonts w:eastAsia="Times New Roman" w:cs="Times New Roman"/>
        </w:rPr>
      </w:pPr>
    </w:p>
    <w:p w14:paraId="23016756" w14:textId="0839B395" w:rsidR="00FE733C" w:rsidRPr="00DE4806" w:rsidRDefault="00E37C83" w:rsidP="00FE733C">
      <w:pPr>
        <w:pStyle w:val="NoSpacing"/>
        <w:ind w:left="360" w:hanging="360"/>
        <w:rPr>
          <w:spacing w:val="10"/>
        </w:rPr>
      </w:pPr>
      <w:sdt>
        <w:sdtPr>
          <w:rPr>
            <w:b/>
          </w:rPr>
          <w:id w:val="370743800"/>
          <w14:checkbox>
            <w14:checked w14:val="0"/>
            <w14:checkedState w14:val="2612" w14:font="MS Gothic"/>
            <w14:uncheckedState w14:val="2610" w14:font="MS Gothic"/>
          </w14:checkbox>
        </w:sdtPr>
        <w:sdtEndPr/>
        <w:sdtContent>
          <w:r w:rsidR="00BB13BC">
            <w:rPr>
              <w:rFonts w:ascii="MS Gothic" w:eastAsia="MS Gothic" w:hAnsi="MS Gothic" w:hint="eastAsia"/>
              <w:b/>
            </w:rPr>
            <w:t>☐</w:t>
          </w:r>
        </w:sdtContent>
      </w:sdt>
      <w:r w:rsidR="00FE733C" w:rsidRPr="00DE4806">
        <w:rPr>
          <w:b/>
        </w:rPr>
        <w:t xml:space="preserve"> </w:t>
      </w:r>
      <w:r w:rsidR="00FE733C" w:rsidRPr="00DE4806">
        <w:rPr>
          <w:b/>
        </w:rPr>
        <w:tab/>
      </w:r>
      <w:r w:rsidR="00FE733C" w:rsidRPr="00DE4806">
        <w:rPr>
          <w:b/>
          <w:u w:val="single"/>
        </w:rPr>
        <w:t>D</w:t>
      </w:r>
      <w:r w:rsidR="009904C2" w:rsidRPr="00DE4806">
        <w:rPr>
          <w:b/>
          <w:u w:val="single"/>
        </w:rPr>
        <w:t>eclining sales</w:t>
      </w:r>
      <w:r w:rsidR="009904C2" w:rsidRPr="00DE4806">
        <w:t xml:space="preserve"> - A company has undergone or will undergo (must be confirmed) a significant loss in sales that puts part of their workforce in threat of layoff.  Declining sales must be expressed in terms of X dollars or Y units for Z period of time (months or years), along with information that provides known or suspected reasons for the decline.  </w:t>
      </w:r>
    </w:p>
    <w:p w14:paraId="1DB1A375" w14:textId="77777777" w:rsidR="00FE733C" w:rsidRPr="00DE4806" w:rsidRDefault="00FE733C" w:rsidP="00FE733C">
      <w:pPr>
        <w:pStyle w:val="NoSpacing"/>
        <w:ind w:left="360" w:hanging="360"/>
        <w:rPr>
          <w:b/>
          <w:u w:val="single"/>
        </w:rPr>
      </w:pPr>
    </w:p>
    <w:p w14:paraId="40C4F095" w14:textId="7B9FB421" w:rsidR="00FE733C" w:rsidRPr="00DE4806" w:rsidRDefault="00E37C83" w:rsidP="00FE733C">
      <w:pPr>
        <w:pStyle w:val="NoSpacing"/>
        <w:ind w:left="360" w:hanging="360"/>
        <w:rPr>
          <w:spacing w:val="10"/>
        </w:rPr>
      </w:pPr>
      <w:sdt>
        <w:sdtPr>
          <w:rPr>
            <w:b/>
          </w:rPr>
          <w:id w:val="-497809233"/>
          <w14:checkbox>
            <w14:checked w14:val="0"/>
            <w14:checkedState w14:val="2612" w14:font="MS Gothic"/>
            <w14:uncheckedState w14:val="2610" w14:font="MS Gothic"/>
          </w14:checkbox>
        </w:sdtPr>
        <w:sdtEndPr/>
        <w:sdtContent>
          <w:r w:rsidR="00796AFE">
            <w:rPr>
              <w:rFonts w:ascii="MS Gothic" w:eastAsia="MS Gothic" w:hAnsi="MS Gothic" w:hint="eastAsia"/>
              <w:b/>
            </w:rPr>
            <w:t>☐</w:t>
          </w:r>
        </w:sdtContent>
      </w:sdt>
      <w:r w:rsidR="00FE733C" w:rsidRPr="00DE4806">
        <w:rPr>
          <w:b/>
        </w:rPr>
        <w:tab/>
      </w:r>
      <w:r w:rsidR="00FE733C" w:rsidRPr="00DE4806">
        <w:rPr>
          <w:b/>
          <w:u w:val="single"/>
        </w:rPr>
        <w:t>S</w:t>
      </w:r>
      <w:r w:rsidR="009904C2" w:rsidRPr="00DE4806">
        <w:rPr>
          <w:b/>
          <w:u w:val="single"/>
        </w:rPr>
        <w:t>upply chain issues</w:t>
      </w:r>
      <w:r w:rsidR="009904C2" w:rsidRPr="00DE4806">
        <w:t xml:space="preserve"> - A company loses a supplier or consumer that threatens the employment of part of their workforce or acquired a new supplier that requires new skills to maintain the workforce.  Supply chain issues must be accompanied by an explanation as to why the change occurred.  </w:t>
      </w:r>
    </w:p>
    <w:p w14:paraId="7FF07F55" w14:textId="77777777" w:rsidR="00FE733C" w:rsidRPr="00DE4806" w:rsidRDefault="00FE733C" w:rsidP="00FE733C">
      <w:pPr>
        <w:pStyle w:val="NoSpacing"/>
        <w:ind w:left="360" w:hanging="360"/>
        <w:rPr>
          <w:b/>
          <w:u w:val="single"/>
        </w:rPr>
      </w:pPr>
    </w:p>
    <w:p w14:paraId="16A042BB" w14:textId="0A440884" w:rsidR="00FE733C" w:rsidRPr="00DE4806" w:rsidRDefault="00E37C83" w:rsidP="00FE733C">
      <w:pPr>
        <w:pStyle w:val="NoSpacing"/>
        <w:ind w:left="360" w:hanging="360"/>
        <w:rPr>
          <w:spacing w:val="10"/>
        </w:rPr>
      </w:pPr>
      <w:sdt>
        <w:sdtPr>
          <w:rPr>
            <w:b/>
          </w:rPr>
          <w:id w:val="-822343277"/>
          <w14:checkbox>
            <w14:checked w14:val="0"/>
            <w14:checkedState w14:val="2612" w14:font="MS Gothic"/>
            <w14:uncheckedState w14:val="2610" w14:font="MS Gothic"/>
          </w14:checkbox>
        </w:sdtPr>
        <w:sdtEndPr/>
        <w:sdtContent>
          <w:r w:rsidR="00FE733C" w:rsidRPr="00DE4806">
            <w:rPr>
              <w:rFonts w:ascii="MS Gothic" w:eastAsia="MS Gothic" w:hAnsi="MS Gothic" w:hint="eastAsia"/>
              <w:b/>
            </w:rPr>
            <w:t>☐</w:t>
          </w:r>
        </w:sdtContent>
      </w:sdt>
      <w:r w:rsidR="00FE733C" w:rsidRPr="00DE4806">
        <w:rPr>
          <w:b/>
        </w:rPr>
        <w:tab/>
      </w:r>
      <w:r w:rsidR="00FE733C" w:rsidRPr="00DE4806">
        <w:rPr>
          <w:b/>
          <w:u w:val="single"/>
        </w:rPr>
        <w:t>I</w:t>
      </w:r>
      <w:r w:rsidR="009904C2" w:rsidRPr="00DE4806">
        <w:rPr>
          <w:b/>
          <w:u w:val="single"/>
        </w:rPr>
        <w:t>ndustry/market trends</w:t>
      </w:r>
      <w:r w:rsidR="009904C2" w:rsidRPr="00DE4806">
        <w:t xml:space="preserve"> - The industry/market standards have changed to the point where new training is needed to retain the current workforce.  For example, have the employer’s customers asked for production or delivery of products to be handled in a specific way that requires skill upgrade training?  </w:t>
      </w:r>
    </w:p>
    <w:p w14:paraId="55C38223" w14:textId="77777777" w:rsidR="00FE733C" w:rsidRPr="00DE4806" w:rsidRDefault="00FE733C" w:rsidP="00FE733C">
      <w:pPr>
        <w:pStyle w:val="NoSpacing"/>
        <w:ind w:left="360" w:hanging="360"/>
        <w:rPr>
          <w:b/>
          <w:u w:val="single"/>
        </w:rPr>
      </w:pPr>
    </w:p>
    <w:p w14:paraId="54B86EAA" w14:textId="11D5DF43" w:rsidR="00FE733C" w:rsidRPr="00DE4806" w:rsidRDefault="00E37C83" w:rsidP="00FE733C">
      <w:pPr>
        <w:pStyle w:val="NoSpacing"/>
        <w:ind w:left="360" w:hanging="360"/>
        <w:rPr>
          <w:spacing w:val="10"/>
        </w:rPr>
      </w:pPr>
      <w:sdt>
        <w:sdtPr>
          <w:rPr>
            <w:b/>
          </w:rPr>
          <w:id w:val="2044090736"/>
          <w14:checkbox>
            <w14:checked w14:val="0"/>
            <w14:checkedState w14:val="2612" w14:font="MS Gothic"/>
            <w14:uncheckedState w14:val="2610" w14:font="MS Gothic"/>
          </w14:checkbox>
        </w:sdtPr>
        <w:sdtEndPr/>
        <w:sdtContent>
          <w:r w:rsidR="00796AFE">
            <w:rPr>
              <w:rFonts w:ascii="MS Gothic" w:eastAsia="MS Gothic" w:hAnsi="MS Gothic" w:hint="eastAsia"/>
              <w:b/>
            </w:rPr>
            <w:t>☐</w:t>
          </w:r>
        </w:sdtContent>
      </w:sdt>
      <w:r w:rsidR="00FE733C" w:rsidRPr="00DE4806">
        <w:rPr>
          <w:b/>
        </w:rPr>
        <w:tab/>
      </w:r>
      <w:r w:rsidR="00FE733C" w:rsidRPr="00DE4806">
        <w:rPr>
          <w:b/>
          <w:u w:val="single"/>
        </w:rPr>
        <w:t>C</w:t>
      </w:r>
      <w:r w:rsidR="009904C2" w:rsidRPr="00DE4806">
        <w:rPr>
          <w:b/>
          <w:u w:val="single"/>
        </w:rPr>
        <w:t>hanges in management philosophy or ownership</w:t>
      </w:r>
      <w:r w:rsidR="009904C2" w:rsidRPr="00DE4806">
        <w:t xml:space="preserve"> - A company has undergone a new approach to conducting business or new ownership requires new skills to maintain the employment of part of the workforce.  Changes in ownership are generally the result of a lack of profitability, but may also occur where a company is profitable, but not profitable enough (this level of profit may meet the profit requirements of another owner) or the current owners do not have the resources to take advantage of new business strategies</w:t>
      </w:r>
      <w:r w:rsidR="00D87029">
        <w:t>.</w:t>
      </w:r>
    </w:p>
    <w:p w14:paraId="6C5736DC" w14:textId="77777777" w:rsidR="00FE733C" w:rsidRPr="00DE4806" w:rsidRDefault="00FE733C" w:rsidP="00FE733C">
      <w:pPr>
        <w:pStyle w:val="NoSpacing"/>
        <w:ind w:left="360" w:hanging="360"/>
        <w:rPr>
          <w:b/>
          <w:u w:val="single"/>
        </w:rPr>
      </w:pPr>
    </w:p>
    <w:p w14:paraId="1C639E4D" w14:textId="77777777" w:rsidR="00FE733C" w:rsidRPr="00DE4806" w:rsidRDefault="00E37C83" w:rsidP="00FE733C">
      <w:pPr>
        <w:pStyle w:val="NoSpacing"/>
        <w:ind w:left="360" w:hanging="360"/>
        <w:rPr>
          <w:spacing w:val="10"/>
        </w:rPr>
      </w:pPr>
      <w:sdt>
        <w:sdtPr>
          <w:rPr>
            <w:b/>
          </w:rPr>
          <w:id w:val="266122147"/>
          <w14:checkbox>
            <w14:checked w14:val="0"/>
            <w14:checkedState w14:val="2612" w14:font="MS Gothic"/>
            <w14:uncheckedState w14:val="2610" w14:font="MS Gothic"/>
          </w14:checkbox>
        </w:sdtPr>
        <w:sdtEndPr/>
        <w:sdtContent>
          <w:r w:rsidR="00FE733C" w:rsidRPr="00DE4806">
            <w:rPr>
              <w:rFonts w:ascii="MS Gothic" w:eastAsia="MS Gothic" w:hAnsi="MS Gothic" w:hint="eastAsia"/>
              <w:b/>
            </w:rPr>
            <w:t>☐</w:t>
          </w:r>
        </w:sdtContent>
      </w:sdt>
      <w:r w:rsidR="00FE733C" w:rsidRPr="00DE4806">
        <w:rPr>
          <w:b/>
        </w:rPr>
        <w:tab/>
      </w:r>
      <w:r w:rsidR="00FE733C" w:rsidRPr="00DE4806">
        <w:rPr>
          <w:b/>
          <w:u w:val="single"/>
        </w:rPr>
        <w:t>W</w:t>
      </w:r>
      <w:r w:rsidR="009904C2" w:rsidRPr="00DE4806">
        <w:rPr>
          <w:b/>
          <w:u w:val="single"/>
        </w:rPr>
        <w:t>orker does not have necessary skills</w:t>
      </w:r>
      <w:r w:rsidR="009904C2" w:rsidRPr="00DE4806">
        <w:t xml:space="preserve"> - A worker’s skills or functions are no longer relevant to the employer’s production process and the worker is at risk of losing their employment without undergoing training to acquire new skills.  </w:t>
      </w:r>
    </w:p>
    <w:p w14:paraId="4874AF4C" w14:textId="77777777" w:rsidR="00FE733C" w:rsidRPr="00DE4806" w:rsidRDefault="00FE733C" w:rsidP="00FE733C">
      <w:pPr>
        <w:pStyle w:val="NoSpacing"/>
        <w:ind w:left="360" w:hanging="360"/>
        <w:rPr>
          <w:b/>
          <w:u w:val="single"/>
        </w:rPr>
      </w:pPr>
    </w:p>
    <w:p w14:paraId="02176B97" w14:textId="7AA6ED12" w:rsidR="00FE733C" w:rsidRPr="00DE4806" w:rsidRDefault="00E37C83" w:rsidP="00FE733C">
      <w:pPr>
        <w:pStyle w:val="NoSpacing"/>
        <w:ind w:left="360" w:hanging="360"/>
        <w:rPr>
          <w:spacing w:val="10"/>
        </w:rPr>
      </w:pPr>
      <w:sdt>
        <w:sdtPr>
          <w:rPr>
            <w:b/>
          </w:rPr>
          <w:id w:val="1348828861"/>
          <w14:checkbox>
            <w14:checked w14:val="0"/>
            <w14:checkedState w14:val="2612" w14:font="MS Gothic"/>
            <w14:uncheckedState w14:val="2610" w14:font="MS Gothic"/>
          </w14:checkbox>
        </w:sdtPr>
        <w:sdtEndPr/>
        <w:sdtContent>
          <w:r w:rsidR="00FE733C" w:rsidRPr="00DE4806">
            <w:rPr>
              <w:rFonts w:ascii="MS Gothic" w:eastAsia="MS Gothic" w:hAnsi="MS Gothic" w:hint="eastAsia"/>
              <w:b/>
            </w:rPr>
            <w:t>☐</w:t>
          </w:r>
        </w:sdtContent>
      </w:sdt>
      <w:r w:rsidR="00FE733C" w:rsidRPr="00DE4806">
        <w:rPr>
          <w:b/>
        </w:rPr>
        <w:tab/>
      </w:r>
      <w:r w:rsidR="009904C2" w:rsidRPr="00DE4806">
        <w:rPr>
          <w:b/>
          <w:u w:val="single"/>
        </w:rPr>
        <w:t>Strong possibility of a job if a worker attains new skills</w:t>
      </w:r>
      <w:r w:rsidR="009904C2" w:rsidRPr="00DE4806">
        <w:t xml:space="preserve"> - The worker is in a position that is subject to layoff, and by acquiring new skills training he/she can move into a position that is not subject to layoff. </w:t>
      </w:r>
      <w:r w:rsidR="00D87029">
        <w:t xml:space="preserve"> </w:t>
      </w:r>
      <w:r w:rsidR="009904C2" w:rsidRPr="00DE4806">
        <w:t xml:space="preserve">New skills attainment may avert a layoff for individuals within a company or may make them more attractive to other companies.  </w:t>
      </w:r>
    </w:p>
    <w:p w14:paraId="7A756248" w14:textId="77777777" w:rsidR="00FE733C" w:rsidRPr="00DE4806" w:rsidRDefault="00FE733C" w:rsidP="00FE733C">
      <w:pPr>
        <w:pStyle w:val="NoSpacing"/>
        <w:ind w:left="360" w:hanging="360"/>
        <w:rPr>
          <w:b/>
          <w:u w:val="single"/>
        </w:rPr>
      </w:pPr>
    </w:p>
    <w:p w14:paraId="5FE69908" w14:textId="5F1DE3ED" w:rsidR="00A60264" w:rsidRPr="00431CFB" w:rsidRDefault="00E37C83" w:rsidP="00FE733C">
      <w:pPr>
        <w:pStyle w:val="NoSpacing"/>
        <w:ind w:left="360" w:hanging="360"/>
        <w:rPr>
          <w:spacing w:val="10"/>
        </w:rPr>
      </w:pPr>
      <w:sdt>
        <w:sdtPr>
          <w:rPr>
            <w:b/>
          </w:rPr>
          <w:id w:val="1159355548"/>
          <w14:checkbox>
            <w14:checked w14:val="0"/>
            <w14:checkedState w14:val="2612" w14:font="MS Gothic"/>
            <w14:uncheckedState w14:val="2610" w14:font="MS Gothic"/>
          </w14:checkbox>
        </w:sdtPr>
        <w:sdtEndPr/>
        <w:sdtContent>
          <w:r w:rsidR="00284041">
            <w:rPr>
              <w:rFonts w:ascii="MS Gothic" w:eastAsia="MS Gothic" w:hAnsi="MS Gothic" w:hint="eastAsia"/>
              <w:b/>
            </w:rPr>
            <w:t>☐</w:t>
          </w:r>
        </w:sdtContent>
      </w:sdt>
      <w:r w:rsidR="00FE733C" w:rsidRPr="00DE4806">
        <w:rPr>
          <w:b/>
        </w:rPr>
        <w:tab/>
      </w:r>
      <w:r w:rsidR="009904C2" w:rsidRPr="00DE4806">
        <w:rPr>
          <w:b/>
          <w:u w:val="single"/>
        </w:rPr>
        <w:t>Other “at-risk” indicators</w:t>
      </w:r>
      <w:r w:rsidR="009904C2" w:rsidRPr="00DE4806">
        <w:rPr>
          <w:b/>
          <w:bCs/>
          <w:i/>
          <w:iCs/>
        </w:rPr>
        <w:t xml:space="preserve"> </w:t>
      </w:r>
      <w:r w:rsidR="009904C2" w:rsidRPr="00DE4806">
        <w:rPr>
          <w:iCs/>
        </w:rPr>
        <w:t>-</w:t>
      </w:r>
      <w:r w:rsidR="009904C2" w:rsidRPr="00DE4806">
        <w:rPr>
          <w:i/>
          <w:iCs/>
          <w:spacing w:val="1"/>
        </w:rPr>
        <w:t xml:space="preserve"> </w:t>
      </w:r>
      <w:r w:rsidR="009904C2" w:rsidRPr="00DE4806">
        <w:t>Additional causes for potential layoffs may exist that the company and local area need to outline in making a case for assistance for incumbent workers.</w:t>
      </w:r>
      <w:r w:rsidR="00D87029">
        <w:t xml:space="preserve"> </w:t>
      </w:r>
      <w:r w:rsidR="009904C2" w:rsidRPr="00DE4806">
        <w:t xml:space="preserve"> These may be other criteria that the Local Workforce Investment Area (LWIA) can gather with the consultation of the employer that puts part of their workforce “at-risk” for layoff (e.g., trend in company layoffs).</w:t>
      </w:r>
    </w:p>
    <w:sectPr w:rsidR="00A60264" w:rsidRPr="00431CFB" w:rsidSect="00B973D2">
      <w:headerReference w:type="default" r:id="rId8"/>
      <w:footerReference w:type="default" r:id="rId9"/>
      <w:headerReference w:type="first" r:id="rId10"/>
      <w:footerReference w:type="first" r:id="rId1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15721" w14:textId="77777777" w:rsidR="005F2E0D" w:rsidRDefault="005F2E0D" w:rsidP="007A441C">
      <w:pPr>
        <w:spacing w:after="0" w:line="240" w:lineRule="auto"/>
      </w:pPr>
      <w:r>
        <w:separator/>
      </w:r>
    </w:p>
  </w:endnote>
  <w:endnote w:type="continuationSeparator" w:id="0">
    <w:p w14:paraId="5969242B" w14:textId="77777777" w:rsidR="005F2E0D" w:rsidRDefault="005F2E0D" w:rsidP="007A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pton Boo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1DA3A" w14:textId="43B90FA9" w:rsidR="00A37A94" w:rsidRPr="00B973D2" w:rsidRDefault="00B973D2" w:rsidP="00B973D2">
    <w:pPr>
      <w:pStyle w:val="Footer"/>
      <w:jc w:val="center"/>
    </w:pPr>
    <w:r w:rsidRPr="00B973D2">
      <w:t xml:space="preserve">Page </w:t>
    </w:r>
    <w:r w:rsidRPr="00B973D2">
      <w:fldChar w:fldCharType="begin"/>
    </w:r>
    <w:r w:rsidRPr="00B973D2">
      <w:instrText xml:space="preserve"> PAGE  \* Arabic  \* MERGEFORMAT </w:instrText>
    </w:r>
    <w:r w:rsidRPr="00B973D2">
      <w:fldChar w:fldCharType="separate"/>
    </w:r>
    <w:r w:rsidRPr="00B973D2">
      <w:rPr>
        <w:noProof/>
      </w:rPr>
      <w:t>1</w:t>
    </w:r>
    <w:r w:rsidRPr="00B973D2">
      <w:fldChar w:fldCharType="end"/>
    </w:r>
    <w:r w:rsidRPr="00B973D2">
      <w:t xml:space="preserve"> of </w:t>
    </w:r>
    <w:r w:rsidR="00E37C83">
      <w:fldChar w:fldCharType="begin"/>
    </w:r>
    <w:r w:rsidR="00E37C83">
      <w:instrText xml:space="preserve"> NUMPAGES  \* Arabic  \* MERGEFORMAT </w:instrText>
    </w:r>
    <w:r w:rsidR="00E37C83">
      <w:fldChar w:fldCharType="separate"/>
    </w:r>
    <w:r w:rsidRPr="00B973D2">
      <w:rPr>
        <w:noProof/>
      </w:rPr>
      <w:t>2</w:t>
    </w:r>
    <w:r w:rsidR="00E37C8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BFE3" w14:textId="4EAB822B" w:rsidR="00B973D2" w:rsidRDefault="00B973D2" w:rsidP="00B973D2">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32486" w14:textId="77777777" w:rsidR="005F2E0D" w:rsidRDefault="005F2E0D" w:rsidP="007A441C">
      <w:pPr>
        <w:spacing w:after="0" w:line="240" w:lineRule="auto"/>
      </w:pPr>
      <w:r>
        <w:separator/>
      </w:r>
    </w:p>
  </w:footnote>
  <w:footnote w:type="continuationSeparator" w:id="0">
    <w:p w14:paraId="1D5E6129" w14:textId="77777777" w:rsidR="005F2E0D" w:rsidRDefault="005F2E0D" w:rsidP="007A4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697D" w14:textId="39CB9108" w:rsidR="00A37A94" w:rsidRDefault="00A37A94" w:rsidP="00A37A94">
    <w:pPr>
      <w:pStyle w:val="Header"/>
      <w:jc w:val="right"/>
    </w:pPr>
    <w:r>
      <w:t>Attachment A</w:t>
    </w:r>
  </w:p>
  <w:p w14:paraId="28A3C554" w14:textId="048360A7" w:rsidR="00A37A94" w:rsidRDefault="00A37A94" w:rsidP="00A37A94">
    <w:pPr>
      <w:pStyle w:val="Header"/>
      <w:jc w:val="right"/>
    </w:pPr>
    <w:r>
      <w:t xml:space="preserve">WIOA Notice </w:t>
    </w:r>
    <w:r w:rsidR="00333121">
      <w:t>20</w:t>
    </w:r>
    <w:r>
      <w:t>-NOT-</w:t>
    </w:r>
    <w:r w:rsidR="001113B0">
      <w:t>04</w:t>
    </w:r>
  </w:p>
  <w:p w14:paraId="2FDE8FC6" w14:textId="77777777" w:rsidR="00D32BBB" w:rsidRPr="00A37A94" w:rsidRDefault="00D32BBB" w:rsidP="00A37A9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24A4C" w14:textId="77777777" w:rsidR="00B973D2" w:rsidRDefault="00B973D2" w:rsidP="00B973D2">
    <w:pPr>
      <w:pStyle w:val="Header"/>
      <w:jc w:val="right"/>
    </w:pPr>
    <w:r>
      <w:t>Attachment A</w:t>
    </w:r>
  </w:p>
  <w:p w14:paraId="0B090F7E" w14:textId="3BBFA994" w:rsidR="00B973D2" w:rsidRPr="00A37A94" w:rsidRDefault="00B973D2" w:rsidP="00B973D2">
    <w:pPr>
      <w:pStyle w:val="Header"/>
      <w:jc w:val="right"/>
    </w:pPr>
    <w:r>
      <w:t>WIOA Notice 19-NOT-02</w:t>
    </w:r>
  </w:p>
  <w:p w14:paraId="2B8A48F8" w14:textId="77777777" w:rsidR="00B973D2" w:rsidRDefault="00B97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75385"/>
    <w:multiLevelType w:val="hybridMultilevel"/>
    <w:tmpl w:val="B9B8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0AAC"/>
    <w:multiLevelType w:val="hybridMultilevel"/>
    <w:tmpl w:val="59EC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DE1"/>
    <w:multiLevelType w:val="hybridMultilevel"/>
    <w:tmpl w:val="F4E4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C7743"/>
    <w:multiLevelType w:val="hybridMultilevel"/>
    <w:tmpl w:val="0F92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10368"/>
    <w:multiLevelType w:val="multilevel"/>
    <w:tmpl w:val="A1E8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E47CF"/>
    <w:multiLevelType w:val="hybridMultilevel"/>
    <w:tmpl w:val="45A6644A"/>
    <w:lvl w:ilvl="0" w:tplc="6C101574">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B2857"/>
    <w:multiLevelType w:val="hybridMultilevel"/>
    <w:tmpl w:val="A07A0EAC"/>
    <w:lvl w:ilvl="0" w:tplc="04090001">
      <w:start w:val="1"/>
      <w:numFmt w:val="bullet"/>
      <w:lvlText w:val=""/>
      <w:lvlJc w:val="left"/>
      <w:pPr>
        <w:ind w:left="1588" w:hanging="360"/>
      </w:pPr>
      <w:rPr>
        <w:rFonts w:ascii="Symbol" w:hAnsi="Symbol" w:hint="default"/>
        <w:w w:val="100"/>
        <w:lang w:val="en-US" w:eastAsia="en-US" w:bidi="en-US"/>
      </w:rPr>
    </w:lvl>
    <w:lvl w:ilvl="1" w:tplc="4E209A98">
      <w:numFmt w:val="bullet"/>
      <w:lvlText w:val="o"/>
      <w:lvlJc w:val="left"/>
      <w:pPr>
        <w:ind w:left="820" w:hanging="360"/>
      </w:pPr>
      <w:rPr>
        <w:rFonts w:ascii="Courier New" w:eastAsia="Courier New" w:hAnsi="Courier New" w:cs="Courier New" w:hint="default"/>
        <w:w w:val="100"/>
        <w:sz w:val="22"/>
        <w:szCs w:val="22"/>
        <w:lang w:val="en-US" w:eastAsia="en-US" w:bidi="en-US"/>
      </w:rPr>
    </w:lvl>
    <w:lvl w:ilvl="2" w:tplc="4640872C">
      <w:numFmt w:val="bullet"/>
      <w:lvlText w:val="•"/>
      <w:lvlJc w:val="left"/>
      <w:pPr>
        <w:ind w:left="2624" w:hanging="360"/>
      </w:pPr>
      <w:rPr>
        <w:rFonts w:hint="default"/>
        <w:lang w:val="en-US" w:eastAsia="en-US" w:bidi="en-US"/>
      </w:rPr>
    </w:lvl>
    <w:lvl w:ilvl="3" w:tplc="265C178E">
      <w:numFmt w:val="bullet"/>
      <w:lvlText w:val="•"/>
      <w:lvlJc w:val="left"/>
      <w:pPr>
        <w:ind w:left="3668" w:hanging="360"/>
      </w:pPr>
      <w:rPr>
        <w:rFonts w:hint="default"/>
        <w:lang w:val="en-US" w:eastAsia="en-US" w:bidi="en-US"/>
      </w:rPr>
    </w:lvl>
    <w:lvl w:ilvl="4" w:tplc="E27C5722">
      <w:numFmt w:val="bullet"/>
      <w:lvlText w:val="•"/>
      <w:lvlJc w:val="left"/>
      <w:pPr>
        <w:ind w:left="4713" w:hanging="360"/>
      </w:pPr>
      <w:rPr>
        <w:rFonts w:hint="default"/>
        <w:lang w:val="en-US" w:eastAsia="en-US" w:bidi="en-US"/>
      </w:rPr>
    </w:lvl>
    <w:lvl w:ilvl="5" w:tplc="082E5170">
      <w:numFmt w:val="bullet"/>
      <w:lvlText w:val="•"/>
      <w:lvlJc w:val="left"/>
      <w:pPr>
        <w:ind w:left="5757" w:hanging="360"/>
      </w:pPr>
      <w:rPr>
        <w:rFonts w:hint="default"/>
        <w:lang w:val="en-US" w:eastAsia="en-US" w:bidi="en-US"/>
      </w:rPr>
    </w:lvl>
    <w:lvl w:ilvl="6" w:tplc="B8D8E65A">
      <w:numFmt w:val="bullet"/>
      <w:lvlText w:val="•"/>
      <w:lvlJc w:val="left"/>
      <w:pPr>
        <w:ind w:left="6802" w:hanging="360"/>
      </w:pPr>
      <w:rPr>
        <w:rFonts w:hint="default"/>
        <w:lang w:val="en-US" w:eastAsia="en-US" w:bidi="en-US"/>
      </w:rPr>
    </w:lvl>
    <w:lvl w:ilvl="7" w:tplc="BDF4B182">
      <w:numFmt w:val="bullet"/>
      <w:lvlText w:val="•"/>
      <w:lvlJc w:val="left"/>
      <w:pPr>
        <w:ind w:left="7846" w:hanging="360"/>
      </w:pPr>
      <w:rPr>
        <w:rFonts w:hint="default"/>
        <w:lang w:val="en-US" w:eastAsia="en-US" w:bidi="en-US"/>
      </w:rPr>
    </w:lvl>
    <w:lvl w:ilvl="8" w:tplc="7FE0258C">
      <w:numFmt w:val="bullet"/>
      <w:lvlText w:val="•"/>
      <w:lvlJc w:val="left"/>
      <w:pPr>
        <w:ind w:left="8891" w:hanging="360"/>
      </w:pPr>
      <w:rPr>
        <w:rFonts w:hint="default"/>
        <w:lang w:val="en-US" w:eastAsia="en-US" w:bidi="en-US"/>
      </w:rPr>
    </w:lvl>
  </w:abstractNum>
  <w:abstractNum w:abstractNumId="7" w15:restartNumberingAfterBreak="0">
    <w:nsid w:val="30BD7BD9"/>
    <w:multiLevelType w:val="hybridMultilevel"/>
    <w:tmpl w:val="9FF049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FA6F75"/>
    <w:multiLevelType w:val="hybridMultilevel"/>
    <w:tmpl w:val="30E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C7549"/>
    <w:multiLevelType w:val="hybridMultilevel"/>
    <w:tmpl w:val="5CF0F96E"/>
    <w:lvl w:ilvl="0" w:tplc="48880CFC">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F6E78"/>
    <w:multiLevelType w:val="hybridMultilevel"/>
    <w:tmpl w:val="1E68DBA2"/>
    <w:lvl w:ilvl="0" w:tplc="8B1048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D3027"/>
    <w:multiLevelType w:val="hybridMultilevel"/>
    <w:tmpl w:val="2168155A"/>
    <w:lvl w:ilvl="0" w:tplc="186435E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A57F0"/>
    <w:multiLevelType w:val="hybridMultilevel"/>
    <w:tmpl w:val="A52E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B6A10"/>
    <w:multiLevelType w:val="hybridMultilevel"/>
    <w:tmpl w:val="4E92B9B0"/>
    <w:lvl w:ilvl="0" w:tplc="6C101574">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F4955"/>
    <w:multiLevelType w:val="hybridMultilevel"/>
    <w:tmpl w:val="F4AE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410F2"/>
    <w:multiLevelType w:val="hybridMultilevel"/>
    <w:tmpl w:val="A37C6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2"/>
  </w:num>
  <w:num w:numId="5">
    <w:abstractNumId w:val="8"/>
  </w:num>
  <w:num w:numId="6">
    <w:abstractNumId w:val="14"/>
  </w:num>
  <w:num w:numId="7">
    <w:abstractNumId w:val="4"/>
  </w:num>
  <w:num w:numId="8">
    <w:abstractNumId w:val="1"/>
  </w:num>
  <w:num w:numId="9">
    <w:abstractNumId w:val="15"/>
  </w:num>
  <w:num w:numId="10">
    <w:abstractNumId w:val="1"/>
  </w:num>
  <w:num w:numId="11">
    <w:abstractNumId w:val="10"/>
  </w:num>
  <w:num w:numId="12">
    <w:abstractNumId w:val="7"/>
  </w:num>
  <w:num w:numId="13">
    <w:abstractNumId w:val="11"/>
  </w:num>
  <w:num w:numId="14">
    <w:abstractNumId w:val="9"/>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C2"/>
    <w:rsid w:val="00064625"/>
    <w:rsid w:val="000B2CE3"/>
    <w:rsid w:val="000D4A31"/>
    <w:rsid w:val="000D4E86"/>
    <w:rsid w:val="000E00B3"/>
    <w:rsid w:val="000E7CBA"/>
    <w:rsid w:val="000F230B"/>
    <w:rsid w:val="001113B0"/>
    <w:rsid w:val="0013073B"/>
    <w:rsid w:val="00152959"/>
    <w:rsid w:val="00173EFA"/>
    <w:rsid w:val="001A0366"/>
    <w:rsid w:val="001F4F8D"/>
    <w:rsid w:val="00241D34"/>
    <w:rsid w:val="00245E24"/>
    <w:rsid w:val="00284041"/>
    <w:rsid w:val="0028641B"/>
    <w:rsid w:val="00291259"/>
    <w:rsid w:val="00291FB6"/>
    <w:rsid w:val="00293CDC"/>
    <w:rsid w:val="002B0AC4"/>
    <w:rsid w:val="002D0778"/>
    <w:rsid w:val="002D0AFF"/>
    <w:rsid w:val="002E649B"/>
    <w:rsid w:val="002F7B6E"/>
    <w:rsid w:val="00300E1F"/>
    <w:rsid w:val="00333121"/>
    <w:rsid w:val="0033362D"/>
    <w:rsid w:val="00360186"/>
    <w:rsid w:val="00360569"/>
    <w:rsid w:val="0038791F"/>
    <w:rsid w:val="00391F17"/>
    <w:rsid w:val="003A1BC2"/>
    <w:rsid w:val="003F404E"/>
    <w:rsid w:val="00411824"/>
    <w:rsid w:val="00412174"/>
    <w:rsid w:val="00431CFB"/>
    <w:rsid w:val="00467F4C"/>
    <w:rsid w:val="004A35E4"/>
    <w:rsid w:val="004C6378"/>
    <w:rsid w:val="004E7432"/>
    <w:rsid w:val="004F5FD8"/>
    <w:rsid w:val="00500D65"/>
    <w:rsid w:val="00513AD0"/>
    <w:rsid w:val="00572419"/>
    <w:rsid w:val="00574AB5"/>
    <w:rsid w:val="005B46DA"/>
    <w:rsid w:val="005B6502"/>
    <w:rsid w:val="005C00F0"/>
    <w:rsid w:val="005F2E0D"/>
    <w:rsid w:val="00635772"/>
    <w:rsid w:val="00653C97"/>
    <w:rsid w:val="006D3CF6"/>
    <w:rsid w:val="006F10DA"/>
    <w:rsid w:val="006F19BA"/>
    <w:rsid w:val="006F3D00"/>
    <w:rsid w:val="006F3F27"/>
    <w:rsid w:val="006F4A84"/>
    <w:rsid w:val="00700857"/>
    <w:rsid w:val="00711978"/>
    <w:rsid w:val="00735A03"/>
    <w:rsid w:val="00747480"/>
    <w:rsid w:val="007742A9"/>
    <w:rsid w:val="00780990"/>
    <w:rsid w:val="00780B99"/>
    <w:rsid w:val="007926FF"/>
    <w:rsid w:val="007959A6"/>
    <w:rsid w:val="00796AFE"/>
    <w:rsid w:val="007A1BC3"/>
    <w:rsid w:val="007A441C"/>
    <w:rsid w:val="0080453E"/>
    <w:rsid w:val="00813561"/>
    <w:rsid w:val="00816A52"/>
    <w:rsid w:val="00826F02"/>
    <w:rsid w:val="00834DB0"/>
    <w:rsid w:val="0086189A"/>
    <w:rsid w:val="008B3CD7"/>
    <w:rsid w:val="008C3271"/>
    <w:rsid w:val="00930D3A"/>
    <w:rsid w:val="009416C3"/>
    <w:rsid w:val="00953C48"/>
    <w:rsid w:val="009904C2"/>
    <w:rsid w:val="009D518F"/>
    <w:rsid w:val="009E219B"/>
    <w:rsid w:val="009F17AF"/>
    <w:rsid w:val="009F70AB"/>
    <w:rsid w:val="00A37A94"/>
    <w:rsid w:val="00A55F35"/>
    <w:rsid w:val="00A57B83"/>
    <w:rsid w:val="00A60264"/>
    <w:rsid w:val="00A9549B"/>
    <w:rsid w:val="00AB079F"/>
    <w:rsid w:val="00AB789D"/>
    <w:rsid w:val="00AC035F"/>
    <w:rsid w:val="00B13F6B"/>
    <w:rsid w:val="00B33DF4"/>
    <w:rsid w:val="00B34A1E"/>
    <w:rsid w:val="00B401D3"/>
    <w:rsid w:val="00B40D39"/>
    <w:rsid w:val="00B82764"/>
    <w:rsid w:val="00B973D2"/>
    <w:rsid w:val="00BB13BC"/>
    <w:rsid w:val="00BB76D7"/>
    <w:rsid w:val="00BC00B6"/>
    <w:rsid w:val="00BD2D31"/>
    <w:rsid w:val="00C007A1"/>
    <w:rsid w:val="00C00FDB"/>
    <w:rsid w:val="00C11376"/>
    <w:rsid w:val="00CF512B"/>
    <w:rsid w:val="00D32BBB"/>
    <w:rsid w:val="00D364AB"/>
    <w:rsid w:val="00D54CE5"/>
    <w:rsid w:val="00D87029"/>
    <w:rsid w:val="00D97658"/>
    <w:rsid w:val="00DE4806"/>
    <w:rsid w:val="00E04631"/>
    <w:rsid w:val="00E13551"/>
    <w:rsid w:val="00E37C83"/>
    <w:rsid w:val="00E47B34"/>
    <w:rsid w:val="00E709B4"/>
    <w:rsid w:val="00EB7575"/>
    <w:rsid w:val="00ED01EE"/>
    <w:rsid w:val="00EF5300"/>
    <w:rsid w:val="00F21C65"/>
    <w:rsid w:val="00F246FF"/>
    <w:rsid w:val="00F3095C"/>
    <w:rsid w:val="00F421AA"/>
    <w:rsid w:val="00F604DC"/>
    <w:rsid w:val="00F77FCF"/>
    <w:rsid w:val="00F956E1"/>
    <w:rsid w:val="00FA443E"/>
    <w:rsid w:val="00FC0F7A"/>
    <w:rsid w:val="00FC4F8E"/>
    <w:rsid w:val="00FD572A"/>
    <w:rsid w:val="00FE0895"/>
    <w:rsid w:val="00FE733C"/>
    <w:rsid w:val="00FE74CC"/>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8FCA"/>
  <w15:chartTrackingRefBased/>
  <w15:docId w15:val="{C202C5DD-4732-4F33-A143-AB3C0528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Spacing"/>
    <w:next w:val="Normal"/>
    <w:link w:val="Heading2Char"/>
    <w:uiPriority w:val="9"/>
    <w:unhideWhenUsed/>
    <w:qFormat/>
    <w:rsid w:val="00572419"/>
    <w:pPr>
      <w:spacing w:line="276"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1BC2"/>
    <w:pPr>
      <w:spacing w:after="0" w:line="240" w:lineRule="auto"/>
    </w:pPr>
  </w:style>
  <w:style w:type="paragraph" w:styleId="ListParagraph">
    <w:name w:val="List Paragraph"/>
    <w:basedOn w:val="Normal"/>
    <w:uiPriority w:val="1"/>
    <w:qFormat/>
    <w:rsid w:val="00BC00B6"/>
    <w:pPr>
      <w:widowControl w:val="0"/>
      <w:autoSpaceDE w:val="0"/>
      <w:autoSpaceDN w:val="0"/>
      <w:spacing w:after="0" w:line="240" w:lineRule="auto"/>
      <w:ind w:left="1540" w:hanging="360"/>
    </w:pPr>
    <w:rPr>
      <w:rFonts w:ascii="Arial" w:eastAsia="Arial" w:hAnsi="Arial" w:cs="Arial"/>
      <w:lang w:bidi="en-US"/>
    </w:rPr>
  </w:style>
  <w:style w:type="paragraph" w:customStyle="1" w:styleId="Default">
    <w:name w:val="Default"/>
    <w:rsid w:val="00BC00B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F512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742A9"/>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7742A9"/>
    <w:rPr>
      <w:rFonts w:ascii="Arial" w:eastAsia="Arial" w:hAnsi="Arial" w:cs="Arial"/>
      <w:lang w:bidi="en-US"/>
    </w:rPr>
  </w:style>
  <w:style w:type="character" w:styleId="Hyperlink">
    <w:name w:val="Hyperlink"/>
    <w:basedOn w:val="DefaultParagraphFont"/>
    <w:uiPriority w:val="99"/>
    <w:unhideWhenUsed/>
    <w:rsid w:val="00300E1F"/>
    <w:rPr>
      <w:color w:val="0563C1" w:themeColor="hyperlink"/>
      <w:u w:val="single"/>
    </w:rPr>
  </w:style>
  <w:style w:type="character" w:styleId="UnresolvedMention">
    <w:name w:val="Unresolved Mention"/>
    <w:basedOn w:val="DefaultParagraphFont"/>
    <w:uiPriority w:val="99"/>
    <w:semiHidden/>
    <w:unhideWhenUsed/>
    <w:rsid w:val="00300E1F"/>
    <w:rPr>
      <w:color w:val="605E5C"/>
      <w:shd w:val="clear" w:color="auto" w:fill="E1DFDD"/>
    </w:rPr>
  </w:style>
  <w:style w:type="character" w:customStyle="1" w:styleId="bold1">
    <w:name w:val="bold1"/>
    <w:basedOn w:val="DefaultParagraphFont"/>
    <w:rsid w:val="006F19BA"/>
    <w:rPr>
      <w:b/>
      <w:bCs/>
    </w:rPr>
  </w:style>
  <w:style w:type="paragraph" w:customStyle="1" w:styleId="parentli1">
    <w:name w:val="parent_li1"/>
    <w:basedOn w:val="Normal"/>
    <w:rsid w:val="006F19BA"/>
    <w:pPr>
      <w:spacing w:after="0" w:line="240" w:lineRule="auto"/>
    </w:pPr>
    <w:rPr>
      <w:rFonts w:ascii="Times New Roman" w:eastAsia="Times New Roman" w:hAnsi="Times New Roman" w:cs="Times New Roman"/>
      <w:b/>
      <w:bCs/>
      <w:sz w:val="24"/>
      <w:szCs w:val="24"/>
    </w:rPr>
  </w:style>
  <w:style w:type="character" w:customStyle="1" w:styleId="linkspan1">
    <w:name w:val="linkspan1"/>
    <w:basedOn w:val="DefaultParagraphFont"/>
    <w:rsid w:val="006F19BA"/>
    <w:rPr>
      <w:strike w:val="0"/>
      <w:dstrike w:val="0"/>
      <w:color w:val="428BCA"/>
      <w:u w:val="none"/>
      <w:effect w:val="none"/>
    </w:rPr>
  </w:style>
  <w:style w:type="paragraph" w:customStyle="1" w:styleId="nonparentli1">
    <w:name w:val="nonparent_li1"/>
    <w:basedOn w:val="Normal"/>
    <w:rsid w:val="006F19BA"/>
    <w:pPr>
      <w:spacing w:after="0" w:line="240" w:lineRule="auto"/>
    </w:pPr>
    <w:rPr>
      <w:rFonts w:ascii="Times New Roman" w:eastAsia="Times New Roman" w:hAnsi="Times New Roman" w:cs="Times New Roman"/>
      <w:b/>
      <w:bCs/>
      <w:sz w:val="24"/>
      <w:szCs w:val="24"/>
    </w:rPr>
  </w:style>
  <w:style w:type="character" w:customStyle="1" w:styleId="insertpoint1">
    <w:name w:val="insertpoint1"/>
    <w:basedOn w:val="DefaultParagraphFont"/>
    <w:rsid w:val="006F19BA"/>
    <w:rPr>
      <w:b w:val="0"/>
      <w:bCs w:val="0"/>
      <w:i/>
      <w:iCs/>
      <w:bdr w:val="dotted" w:sz="24" w:space="2" w:color="006400" w:frame="1"/>
    </w:rPr>
  </w:style>
  <w:style w:type="character" w:styleId="CommentReference">
    <w:name w:val="annotation reference"/>
    <w:basedOn w:val="DefaultParagraphFont"/>
    <w:uiPriority w:val="99"/>
    <w:semiHidden/>
    <w:unhideWhenUsed/>
    <w:rsid w:val="000B2CE3"/>
    <w:rPr>
      <w:sz w:val="16"/>
      <w:szCs w:val="16"/>
    </w:rPr>
  </w:style>
  <w:style w:type="paragraph" w:styleId="CommentText">
    <w:name w:val="annotation text"/>
    <w:basedOn w:val="Normal"/>
    <w:link w:val="CommentTextChar"/>
    <w:uiPriority w:val="99"/>
    <w:semiHidden/>
    <w:unhideWhenUsed/>
    <w:rsid w:val="000B2CE3"/>
    <w:pPr>
      <w:spacing w:line="240" w:lineRule="auto"/>
    </w:pPr>
    <w:rPr>
      <w:sz w:val="20"/>
      <w:szCs w:val="20"/>
    </w:rPr>
  </w:style>
  <w:style w:type="character" w:customStyle="1" w:styleId="CommentTextChar">
    <w:name w:val="Comment Text Char"/>
    <w:basedOn w:val="DefaultParagraphFont"/>
    <w:link w:val="CommentText"/>
    <w:uiPriority w:val="99"/>
    <w:semiHidden/>
    <w:rsid w:val="000B2CE3"/>
    <w:rPr>
      <w:sz w:val="20"/>
      <w:szCs w:val="20"/>
    </w:rPr>
  </w:style>
  <w:style w:type="paragraph" w:styleId="CommentSubject">
    <w:name w:val="annotation subject"/>
    <w:basedOn w:val="CommentText"/>
    <w:next w:val="CommentText"/>
    <w:link w:val="CommentSubjectChar"/>
    <w:uiPriority w:val="99"/>
    <w:semiHidden/>
    <w:unhideWhenUsed/>
    <w:rsid w:val="000B2CE3"/>
    <w:rPr>
      <w:b/>
      <w:bCs/>
    </w:rPr>
  </w:style>
  <w:style w:type="character" w:customStyle="1" w:styleId="CommentSubjectChar">
    <w:name w:val="Comment Subject Char"/>
    <w:basedOn w:val="CommentTextChar"/>
    <w:link w:val="CommentSubject"/>
    <w:uiPriority w:val="99"/>
    <w:semiHidden/>
    <w:rsid w:val="000B2CE3"/>
    <w:rPr>
      <w:b/>
      <w:bCs/>
      <w:sz w:val="20"/>
      <w:szCs w:val="20"/>
    </w:rPr>
  </w:style>
  <w:style w:type="paragraph" w:styleId="BalloonText">
    <w:name w:val="Balloon Text"/>
    <w:basedOn w:val="Normal"/>
    <w:link w:val="BalloonTextChar"/>
    <w:uiPriority w:val="99"/>
    <w:semiHidden/>
    <w:unhideWhenUsed/>
    <w:rsid w:val="000B2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CE3"/>
    <w:rPr>
      <w:rFonts w:ascii="Segoe UI" w:hAnsi="Segoe UI" w:cs="Segoe UI"/>
      <w:sz w:val="18"/>
      <w:szCs w:val="18"/>
    </w:rPr>
  </w:style>
  <w:style w:type="character" w:customStyle="1" w:styleId="Heading2Char">
    <w:name w:val="Heading 2 Char"/>
    <w:basedOn w:val="DefaultParagraphFont"/>
    <w:link w:val="Heading2"/>
    <w:uiPriority w:val="9"/>
    <w:rsid w:val="00572419"/>
    <w:rPr>
      <w:b/>
    </w:rPr>
  </w:style>
  <w:style w:type="character" w:customStyle="1" w:styleId="NoSpacingChar">
    <w:name w:val="No Spacing Char"/>
    <w:link w:val="NoSpacing"/>
    <w:uiPriority w:val="1"/>
    <w:rsid w:val="00572419"/>
  </w:style>
  <w:style w:type="table" w:styleId="TableGrid">
    <w:name w:val="Table Grid"/>
    <w:basedOn w:val="TableNormal"/>
    <w:uiPriority w:val="39"/>
    <w:rsid w:val="0046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41C"/>
  </w:style>
  <w:style w:type="paragraph" w:styleId="Footer">
    <w:name w:val="footer"/>
    <w:basedOn w:val="Normal"/>
    <w:link w:val="FooterChar"/>
    <w:uiPriority w:val="99"/>
    <w:unhideWhenUsed/>
    <w:rsid w:val="007A4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1C"/>
  </w:style>
  <w:style w:type="paragraph" w:customStyle="1" w:styleId="DefaultText">
    <w:name w:val="Default Text"/>
    <w:basedOn w:val="Normal"/>
    <w:link w:val="DefaultTextChar"/>
    <w:rsid w:val="007A441C"/>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val="x-none" w:eastAsia="x-none"/>
    </w:rPr>
  </w:style>
  <w:style w:type="character" w:styleId="PageNumber">
    <w:name w:val="page number"/>
    <w:basedOn w:val="DefaultParagraphFont"/>
    <w:rsid w:val="007A441C"/>
  </w:style>
  <w:style w:type="character" w:customStyle="1" w:styleId="DefaultTextChar">
    <w:name w:val="Default Text Char"/>
    <w:link w:val="DefaultText"/>
    <w:rsid w:val="007A441C"/>
    <w:rPr>
      <w:rFonts w:ascii="Arial" w:eastAsia="Times New Roman" w:hAnsi="Arial" w:cs="Times New Roman"/>
      <w:color w:val="000000"/>
      <w:sz w:val="24"/>
      <w:szCs w:val="20"/>
      <w:lang w:val="x-none" w:eastAsia="x-none"/>
    </w:rPr>
  </w:style>
  <w:style w:type="paragraph" w:styleId="EndnoteText">
    <w:name w:val="endnote text"/>
    <w:basedOn w:val="Normal"/>
    <w:link w:val="EndnoteTextChar"/>
    <w:uiPriority w:val="99"/>
    <w:semiHidden/>
    <w:unhideWhenUsed/>
    <w:rsid w:val="004C63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6378"/>
    <w:rPr>
      <w:sz w:val="20"/>
      <w:szCs w:val="20"/>
    </w:rPr>
  </w:style>
  <w:style w:type="character" w:styleId="EndnoteReference">
    <w:name w:val="endnote reference"/>
    <w:basedOn w:val="DefaultParagraphFont"/>
    <w:uiPriority w:val="99"/>
    <w:semiHidden/>
    <w:unhideWhenUsed/>
    <w:rsid w:val="004C6378"/>
    <w:rPr>
      <w:vertAlign w:val="superscript"/>
    </w:rPr>
  </w:style>
  <w:style w:type="character" w:styleId="PlaceholderText">
    <w:name w:val="Placeholder Text"/>
    <w:basedOn w:val="DefaultParagraphFont"/>
    <w:uiPriority w:val="99"/>
    <w:semiHidden/>
    <w:rsid w:val="00BB13BC"/>
    <w:rPr>
      <w:color w:val="808080"/>
    </w:rPr>
  </w:style>
  <w:style w:type="paragraph" w:customStyle="1" w:styleId="Pa30">
    <w:name w:val="Pa30"/>
    <w:basedOn w:val="Default"/>
    <w:next w:val="Default"/>
    <w:uiPriority w:val="99"/>
    <w:rsid w:val="003F404E"/>
    <w:pPr>
      <w:spacing w:line="171" w:lineRule="atLeast"/>
    </w:pPr>
    <w:rPr>
      <w:rFonts w:ascii="Campton Book" w:hAnsi="Campton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65698">
      <w:bodyDiv w:val="1"/>
      <w:marLeft w:val="0"/>
      <w:marRight w:val="0"/>
      <w:marTop w:val="0"/>
      <w:marBottom w:val="0"/>
      <w:divBdr>
        <w:top w:val="none" w:sz="0" w:space="0" w:color="auto"/>
        <w:left w:val="none" w:sz="0" w:space="0" w:color="auto"/>
        <w:bottom w:val="none" w:sz="0" w:space="0" w:color="auto"/>
        <w:right w:val="none" w:sz="0" w:space="0" w:color="auto"/>
      </w:divBdr>
    </w:div>
    <w:div w:id="293484002">
      <w:bodyDiv w:val="1"/>
      <w:marLeft w:val="0"/>
      <w:marRight w:val="0"/>
      <w:marTop w:val="0"/>
      <w:marBottom w:val="0"/>
      <w:divBdr>
        <w:top w:val="none" w:sz="0" w:space="0" w:color="auto"/>
        <w:left w:val="none" w:sz="0" w:space="0" w:color="auto"/>
        <w:bottom w:val="none" w:sz="0" w:space="0" w:color="auto"/>
        <w:right w:val="none" w:sz="0" w:space="0" w:color="auto"/>
      </w:divBdr>
      <w:divsChild>
        <w:div w:id="1182670637">
          <w:marLeft w:val="0"/>
          <w:marRight w:val="0"/>
          <w:marTop w:val="0"/>
          <w:marBottom w:val="0"/>
          <w:divBdr>
            <w:top w:val="none" w:sz="0" w:space="0" w:color="auto"/>
            <w:left w:val="none" w:sz="0" w:space="0" w:color="auto"/>
            <w:bottom w:val="none" w:sz="0" w:space="0" w:color="auto"/>
            <w:right w:val="none" w:sz="0" w:space="0" w:color="auto"/>
          </w:divBdr>
          <w:divsChild>
            <w:div w:id="1648706576">
              <w:marLeft w:val="0"/>
              <w:marRight w:val="0"/>
              <w:marTop w:val="0"/>
              <w:marBottom w:val="0"/>
              <w:divBdr>
                <w:top w:val="none" w:sz="0" w:space="0" w:color="auto"/>
                <w:left w:val="none" w:sz="0" w:space="0" w:color="auto"/>
                <w:bottom w:val="none" w:sz="0" w:space="0" w:color="auto"/>
                <w:right w:val="none" w:sz="0" w:space="0" w:color="auto"/>
              </w:divBdr>
              <w:divsChild>
                <w:div w:id="787554666">
                  <w:marLeft w:val="0"/>
                  <w:marRight w:val="0"/>
                  <w:marTop w:val="0"/>
                  <w:marBottom w:val="0"/>
                  <w:divBdr>
                    <w:top w:val="none" w:sz="0" w:space="0" w:color="auto"/>
                    <w:left w:val="none" w:sz="0" w:space="0" w:color="auto"/>
                    <w:bottom w:val="none" w:sz="0" w:space="0" w:color="auto"/>
                    <w:right w:val="none" w:sz="0" w:space="0" w:color="auto"/>
                  </w:divBdr>
                  <w:divsChild>
                    <w:div w:id="151678434">
                      <w:marLeft w:val="0"/>
                      <w:marRight w:val="0"/>
                      <w:marTop w:val="0"/>
                      <w:marBottom w:val="0"/>
                      <w:divBdr>
                        <w:top w:val="none" w:sz="0" w:space="0" w:color="auto"/>
                        <w:left w:val="none" w:sz="0" w:space="0" w:color="auto"/>
                        <w:bottom w:val="none" w:sz="0" w:space="0" w:color="auto"/>
                        <w:right w:val="none" w:sz="0" w:space="0" w:color="auto"/>
                      </w:divBdr>
                      <w:divsChild>
                        <w:div w:id="458770397">
                          <w:marLeft w:val="0"/>
                          <w:marRight w:val="0"/>
                          <w:marTop w:val="0"/>
                          <w:marBottom w:val="0"/>
                          <w:divBdr>
                            <w:top w:val="none" w:sz="0" w:space="0" w:color="auto"/>
                            <w:left w:val="none" w:sz="0" w:space="0" w:color="auto"/>
                            <w:bottom w:val="none" w:sz="0" w:space="0" w:color="auto"/>
                            <w:right w:val="none" w:sz="0" w:space="0" w:color="auto"/>
                          </w:divBdr>
                          <w:divsChild>
                            <w:div w:id="445583378">
                              <w:marLeft w:val="0"/>
                              <w:marRight w:val="0"/>
                              <w:marTop w:val="0"/>
                              <w:marBottom w:val="0"/>
                              <w:divBdr>
                                <w:top w:val="none" w:sz="0" w:space="0" w:color="auto"/>
                                <w:left w:val="none" w:sz="0" w:space="0" w:color="auto"/>
                                <w:bottom w:val="none" w:sz="0" w:space="0" w:color="auto"/>
                                <w:right w:val="none" w:sz="0" w:space="0" w:color="auto"/>
                              </w:divBdr>
                              <w:divsChild>
                                <w:div w:id="521282943">
                                  <w:marLeft w:val="0"/>
                                  <w:marRight w:val="0"/>
                                  <w:marTop w:val="0"/>
                                  <w:marBottom w:val="0"/>
                                  <w:divBdr>
                                    <w:top w:val="none" w:sz="0" w:space="0" w:color="auto"/>
                                    <w:left w:val="none" w:sz="0" w:space="0" w:color="auto"/>
                                    <w:bottom w:val="none" w:sz="0" w:space="0" w:color="auto"/>
                                    <w:right w:val="none" w:sz="0" w:space="0" w:color="auto"/>
                                  </w:divBdr>
                                  <w:divsChild>
                                    <w:div w:id="11497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769063">
      <w:bodyDiv w:val="1"/>
      <w:marLeft w:val="0"/>
      <w:marRight w:val="0"/>
      <w:marTop w:val="0"/>
      <w:marBottom w:val="0"/>
      <w:divBdr>
        <w:top w:val="none" w:sz="0" w:space="0" w:color="auto"/>
        <w:left w:val="none" w:sz="0" w:space="0" w:color="auto"/>
        <w:bottom w:val="none" w:sz="0" w:space="0" w:color="auto"/>
        <w:right w:val="none" w:sz="0" w:space="0" w:color="auto"/>
      </w:divBdr>
    </w:div>
    <w:div w:id="1151214992">
      <w:bodyDiv w:val="1"/>
      <w:marLeft w:val="0"/>
      <w:marRight w:val="0"/>
      <w:marTop w:val="0"/>
      <w:marBottom w:val="0"/>
      <w:divBdr>
        <w:top w:val="none" w:sz="0" w:space="0" w:color="auto"/>
        <w:left w:val="none" w:sz="0" w:space="0" w:color="auto"/>
        <w:bottom w:val="none" w:sz="0" w:space="0" w:color="auto"/>
        <w:right w:val="none" w:sz="0" w:space="0" w:color="auto"/>
      </w:divBdr>
      <w:divsChild>
        <w:div w:id="1530678119">
          <w:marLeft w:val="0"/>
          <w:marRight w:val="0"/>
          <w:marTop w:val="0"/>
          <w:marBottom w:val="0"/>
          <w:divBdr>
            <w:top w:val="none" w:sz="0" w:space="0" w:color="auto"/>
            <w:left w:val="none" w:sz="0" w:space="0" w:color="auto"/>
            <w:bottom w:val="none" w:sz="0" w:space="0" w:color="auto"/>
            <w:right w:val="none" w:sz="0" w:space="0" w:color="auto"/>
          </w:divBdr>
          <w:divsChild>
            <w:div w:id="32191414">
              <w:marLeft w:val="-225"/>
              <w:marRight w:val="-225"/>
              <w:marTop w:val="0"/>
              <w:marBottom w:val="0"/>
              <w:divBdr>
                <w:top w:val="none" w:sz="0" w:space="0" w:color="auto"/>
                <w:left w:val="none" w:sz="0" w:space="0" w:color="auto"/>
                <w:bottom w:val="none" w:sz="0" w:space="0" w:color="auto"/>
                <w:right w:val="none" w:sz="0" w:space="0" w:color="auto"/>
              </w:divBdr>
              <w:divsChild>
                <w:div w:id="19829266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6806114">
      <w:bodyDiv w:val="1"/>
      <w:marLeft w:val="0"/>
      <w:marRight w:val="0"/>
      <w:marTop w:val="0"/>
      <w:marBottom w:val="0"/>
      <w:divBdr>
        <w:top w:val="none" w:sz="0" w:space="0" w:color="auto"/>
        <w:left w:val="none" w:sz="0" w:space="0" w:color="auto"/>
        <w:bottom w:val="none" w:sz="0" w:space="0" w:color="auto"/>
        <w:right w:val="none" w:sz="0" w:space="0" w:color="auto"/>
      </w:divBdr>
    </w:div>
    <w:div w:id="1426027469">
      <w:bodyDiv w:val="1"/>
      <w:marLeft w:val="0"/>
      <w:marRight w:val="0"/>
      <w:marTop w:val="0"/>
      <w:marBottom w:val="0"/>
      <w:divBdr>
        <w:top w:val="none" w:sz="0" w:space="0" w:color="auto"/>
        <w:left w:val="none" w:sz="0" w:space="0" w:color="auto"/>
        <w:bottom w:val="none" w:sz="0" w:space="0" w:color="auto"/>
        <w:right w:val="none" w:sz="0" w:space="0" w:color="auto"/>
      </w:divBdr>
    </w:div>
    <w:div w:id="1507138281">
      <w:bodyDiv w:val="1"/>
      <w:marLeft w:val="0"/>
      <w:marRight w:val="0"/>
      <w:marTop w:val="0"/>
      <w:marBottom w:val="0"/>
      <w:divBdr>
        <w:top w:val="none" w:sz="0" w:space="0" w:color="auto"/>
        <w:left w:val="none" w:sz="0" w:space="0" w:color="auto"/>
        <w:bottom w:val="none" w:sz="0" w:space="0" w:color="auto"/>
        <w:right w:val="none" w:sz="0" w:space="0" w:color="auto"/>
      </w:divBdr>
    </w:div>
    <w:div w:id="1569807249">
      <w:bodyDiv w:val="1"/>
      <w:marLeft w:val="0"/>
      <w:marRight w:val="0"/>
      <w:marTop w:val="0"/>
      <w:marBottom w:val="0"/>
      <w:divBdr>
        <w:top w:val="none" w:sz="0" w:space="0" w:color="auto"/>
        <w:left w:val="none" w:sz="0" w:space="0" w:color="auto"/>
        <w:bottom w:val="none" w:sz="0" w:space="0" w:color="auto"/>
        <w:right w:val="none" w:sz="0" w:space="0" w:color="auto"/>
      </w:divBdr>
    </w:div>
    <w:div w:id="1706522865">
      <w:bodyDiv w:val="1"/>
      <w:marLeft w:val="0"/>
      <w:marRight w:val="0"/>
      <w:marTop w:val="0"/>
      <w:marBottom w:val="0"/>
      <w:divBdr>
        <w:top w:val="none" w:sz="0" w:space="0" w:color="auto"/>
        <w:left w:val="none" w:sz="0" w:space="0" w:color="auto"/>
        <w:bottom w:val="none" w:sz="0" w:space="0" w:color="auto"/>
        <w:right w:val="none" w:sz="0" w:space="0" w:color="auto"/>
      </w:divBdr>
      <w:divsChild>
        <w:div w:id="833643516">
          <w:marLeft w:val="0"/>
          <w:marRight w:val="0"/>
          <w:marTop w:val="0"/>
          <w:marBottom w:val="0"/>
          <w:divBdr>
            <w:top w:val="none" w:sz="0" w:space="0" w:color="auto"/>
            <w:left w:val="none" w:sz="0" w:space="0" w:color="auto"/>
            <w:bottom w:val="none" w:sz="0" w:space="0" w:color="auto"/>
            <w:right w:val="none" w:sz="0" w:space="0" w:color="auto"/>
          </w:divBdr>
          <w:divsChild>
            <w:div w:id="419065745">
              <w:marLeft w:val="-225"/>
              <w:marRight w:val="-225"/>
              <w:marTop w:val="0"/>
              <w:marBottom w:val="0"/>
              <w:divBdr>
                <w:top w:val="none" w:sz="0" w:space="0" w:color="auto"/>
                <w:left w:val="none" w:sz="0" w:space="0" w:color="auto"/>
                <w:bottom w:val="none" w:sz="0" w:space="0" w:color="auto"/>
                <w:right w:val="none" w:sz="0" w:space="0" w:color="auto"/>
              </w:divBdr>
              <w:divsChild>
                <w:div w:id="10099921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52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4B750B-7861-492A-969B-FFFDEC9313D1}">
  <ds:schemaRefs>
    <ds:schemaRef ds:uri="http://schemas.openxmlformats.org/officeDocument/2006/bibliography"/>
  </ds:schemaRefs>
</ds:datastoreItem>
</file>

<file path=customXml/itemProps2.xml><?xml version="1.0" encoding="utf-8"?>
<ds:datastoreItem xmlns:ds="http://schemas.openxmlformats.org/officeDocument/2006/customXml" ds:itemID="{6A898D76-9405-4476-B3E6-77987F8AF51D}"/>
</file>

<file path=customXml/itemProps3.xml><?xml version="1.0" encoding="utf-8"?>
<ds:datastoreItem xmlns:ds="http://schemas.openxmlformats.org/officeDocument/2006/customXml" ds:itemID="{0CDA770C-BF8B-4F17-92FB-91E662EF4913}"/>
</file>

<file path=customXml/itemProps4.xml><?xml version="1.0" encoding="utf-8"?>
<ds:datastoreItem xmlns:ds="http://schemas.openxmlformats.org/officeDocument/2006/customXml" ds:itemID="{B3FAA218-0DAA-4BC3-A7F6-170DE6EACE37}"/>
</file>

<file path=docProps/app.xml><?xml version="1.0" encoding="utf-8"?>
<Properties xmlns="http://schemas.openxmlformats.org/officeDocument/2006/extended-properties" xmlns:vt="http://schemas.openxmlformats.org/officeDocument/2006/docPropsVTypes">
  <Template>Normal.dotm</Template>
  <TotalTime>108</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John</dc:creator>
  <cp:keywords/>
  <dc:description/>
  <cp:lastModifiedBy>Barr, John</cp:lastModifiedBy>
  <cp:revision>12</cp:revision>
  <cp:lastPrinted>2020-04-08T15:52:00Z</cp:lastPrinted>
  <dcterms:created xsi:type="dcterms:W3CDTF">2021-02-04T12:03:00Z</dcterms:created>
  <dcterms:modified xsi:type="dcterms:W3CDTF">2021-02-05T14:30:00Z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