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D1D57" w14:textId="7E17BFE1" w:rsidR="00A0264E" w:rsidRPr="00A0264E" w:rsidRDefault="00A0264E" w:rsidP="0003028F">
      <w:pPr>
        <w:pStyle w:val="Level1"/>
        <w:rPr>
          <w:rFonts w:ascii="Source Sans Pro" w:hAnsi="Source Sans Pro"/>
          <w:caps w:val="0"/>
          <w:webHidden/>
          <w:sz w:val="24"/>
          <w:szCs w:val="24"/>
        </w:rPr>
      </w:pPr>
      <w:r w:rsidRPr="00A0264E">
        <w:rPr>
          <w:rFonts w:ascii="Source Sans Pro" w:hAnsi="Source Sans Pro"/>
          <w:caps w:val="0"/>
          <w:webHidden/>
          <w:sz w:val="24"/>
          <w:szCs w:val="24"/>
        </w:rPr>
        <w:t>Introduction</w:t>
      </w:r>
      <w:r w:rsidR="000E2EB4">
        <w:rPr>
          <w:rFonts w:ascii="Source Sans Pro" w:hAnsi="Source Sans Pro"/>
          <w:caps w:val="0"/>
          <w:webHidden/>
          <w:sz w:val="24"/>
          <w:szCs w:val="24"/>
        </w:rPr>
        <w:t xml:space="preserve"> and Background</w:t>
      </w:r>
    </w:p>
    <w:p w14:paraId="65E310B3" w14:textId="16E47020" w:rsidR="00A0264E" w:rsidRDefault="000E2EB4" w:rsidP="001E7F69">
      <w:pPr>
        <w:pStyle w:val="Level1"/>
        <w:spacing w:before="0" w:after="0"/>
        <w:rPr>
          <w:rFonts w:ascii="Source Sans Pro" w:hAnsi="Source Sans Pro"/>
          <w:b w:val="0"/>
          <w:bCs w:val="0"/>
          <w:caps w:val="0"/>
          <w:webHidden/>
          <w:sz w:val="24"/>
          <w:szCs w:val="24"/>
        </w:rPr>
      </w:pPr>
      <w:r>
        <w:rPr>
          <w:rFonts w:ascii="Source Sans Pro" w:hAnsi="Source Sans Pro"/>
          <w:b w:val="0"/>
          <w:bCs w:val="0"/>
          <w:caps w:val="0"/>
          <w:webHidden/>
          <w:sz w:val="24"/>
          <w:szCs w:val="24"/>
        </w:rPr>
        <w:t xml:space="preserve">The Fiscal toolkit is a combination of customizable templates and tools for local workforce areas to help plan and meet </w:t>
      </w:r>
      <w:r w:rsidR="00FE0A6F">
        <w:rPr>
          <w:rFonts w:ascii="Source Sans Pro" w:hAnsi="Source Sans Pro"/>
          <w:b w:val="0"/>
          <w:bCs w:val="0"/>
          <w:caps w:val="0"/>
          <w:webHidden/>
          <w:sz w:val="24"/>
          <w:szCs w:val="24"/>
        </w:rPr>
        <w:t xml:space="preserve">WIOA requirements and </w:t>
      </w:r>
      <w:r>
        <w:rPr>
          <w:rFonts w:ascii="Source Sans Pro" w:hAnsi="Source Sans Pro"/>
          <w:b w:val="0"/>
          <w:bCs w:val="0"/>
          <w:caps w:val="0"/>
          <w:webHidden/>
          <w:sz w:val="24"/>
          <w:szCs w:val="24"/>
        </w:rPr>
        <w:t xml:space="preserve">the </w:t>
      </w:r>
      <w:r w:rsidR="00FE0A6F">
        <w:rPr>
          <w:rFonts w:ascii="Source Sans Pro" w:hAnsi="Source Sans Pro"/>
          <w:b w:val="0"/>
          <w:bCs w:val="0"/>
          <w:caps w:val="0"/>
          <w:webHidden/>
          <w:sz w:val="24"/>
          <w:szCs w:val="24"/>
        </w:rPr>
        <w:t xml:space="preserve">Illinois </w:t>
      </w:r>
      <w:r>
        <w:rPr>
          <w:rFonts w:ascii="Source Sans Pro" w:hAnsi="Source Sans Pro"/>
          <w:b w:val="0"/>
          <w:bCs w:val="0"/>
          <w:caps w:val="0"/>
          <w:webHidden/>
          <w:sz w:val="24"/>
          <w:szCs w:val="24"/>
        </w:rPr>
        <w:t>Department of Commerce and Economic Opportunity</w:t>
      </w:r>
      <w:r w:rsidR="00FE0A6F">
        <w:rPr>
          <w:rFonts w:ascii="Source Sans Pro" w:hAnsi="Source Sans Pro"/>
          <w:b w:val="0"/>
          <w:bCs w:val="0"/>
          <w:caps w:val="0"/>
          <w:webHidden/>
          <w:sz w:val="24"/>
          <w:szCs w:val="24"/>
        </w:rPr>
        <w:t xml:space="preserve"> benchmarks</w:t>
      </w:r>
      <w:r>
        <w:rPr>
          <w:rFonts w:ascii="Source Sans Pro" w:hAnsi="Source Sans Pro"/>
          <w:b w:val="0"/>
          <w:bCs w:val="0"/>
          <w:caps w:val="0"/>
          <w:webHidden/>
          <w:sz w:val="24"/>
          <w:szCs w:val="24"/>
        </w:rPr>
        <w:t xml:space="preserve">. In addition, the </w:t>
      </w:r>
      <w:r w:rsidR="000A05F1">
        <w:rPr>
          <w:rFonts w:ascii="Source Sans Pro" w:hAnsi="Source Sans Pro"/>
          <w:b w:val="0"/>
          <w:bCs w:val="0"/>
          <w:caps w:val="0"/>
          <w:webHidden/>
          <w:sz w:val="24"/>
          <w:szCs w:val="24"/>
        </w:rPr>
        <w:t xml:space="preserve">toolkit </w:t>
      </w:r>
      <w:r>
        <w:rPr>
          <w:rFonts w:ascii="Source Sans Pro" w:hAnsi="Source Sans Pro"/>
          <w:b w:val="0"/>
          <w:bCs w:val="0"/>
          <w:caps w:val="0"/>
          <w:webHidden/>
          <w:sz w:val="24"/>
          <w:szCs w:val="24"/>
        </w:rPr>
        <w:t xml:space="preserve">will help local areas increase institutional knowledge </w:t>
      </w:r>
      <w:r w:rsidR="007333F1">
        <w:rPr>
          <w:rFonts w:ascii="Source Sans Pro" w:hAnsi="Source Sans Pro"/>
          <w:b w:val="0"/>
          <w:bCs w:val="0"/>
          <w:caps w:val="0"/>
          <w:webHidden/>
          <w:sz w:val="24"/>
          <w:szCs w:val="24"/>
        </w:rPr>
        <w:t>through common orientation, role clarity and processes</w:t>
      </w:r>
      <w:r>
        <w:rPr>
          <w:rFonts w:ascii="Source Sans Pro" w:hAnsi="Source Sans Pro"/>
          <w:b w:val="0"/>
          <w:bCs w:val="0"/>
          <w:caps w:val="0"/>
          <w:webHidden/>
          <w:sz w:val="24"/>
          <w:szCs w:val="24"/>
        </w:rPr>
        <w:t xml:space="preserve">. Lastly, the tools </w:t>
      </w:r>
      <w:r w:rsidR="001E7F69">
        <w:rPr>
          <w:rFonts w:ascii="Source Sans Pro" w:hAnsi="Source Sans Pro"/>
          <w:b w:val="0"/>
          <w:bCs w:val="0"/>
          <w:caps w:val="0"/>
          <w:webHidden/>
          <w:sz w:val="24"/>
          <w:szCs w:val="24"/>
        </w:rPr>
        <w:t xml:space="preserve">are designed to be user-friendly with clear data entry instructions and automatic calculations. </w:t>
      </w:r>
    </w:p>
    <w:p w14:paraId="54AE44E8" w14:textId="3C964FFC" w:rsidR="001E7F69" w:rsidRDefault="001E7F69" w:rsidP="001E7F69">
      <w:pPr>
        <w:pStyle w:val="Level1"/>
        <w:spacing w:before="0" w:after="0"/>
        <w:rPr>
          <w:rFonts w:ascii="Source Sans Pro" w:hAnsi="Source Sans Pro"/>
          <w:b w:val="0"/>
          <w:bCs w:val="0"/>
          <w:caps w:val="0"/>
          <w:webHidden/>
          <w:sz w:val="24"/>
          <w:szCs w:val="24"/>
        </w:rPr>
      </w:pPr>
    </w:p>
    <w:p w14:paraId="6D8754A8" w14:textId="40C438E3" w:rsidR="001E7F69" w:rsidRPr="000E2EB4" w:rsidRDefault="001E7F69" w:rsidP="001E7F69">
      <w:pPr>
        <w:pStyle w:val="Level1"/>
        <w:spacing w:before="0" w:after="0"/>
        <w:rPr>
          <w:rFonts w:ascii="Source Sans Pro" w:hAnsi="Source Sans Pro"/>
          <w:b w:val="0"/>
          <w:bCs w:val="0"/>
          <w:caps w:val="0"/>
          <w:webHidden/>
          <w:sz w:val="24"/>
          <w:szCs w:val="24"/>
        </w:rPr>
      </w:pPr>
      <w:r>
        <w:rPr>
          <w:rFonts w:ascii="Source Sans Pro" w:hAnsi="Source Sans Pro"/>
          <w:b w:val="0"/>
          <w:bCs w:val="0"/>
          <w:caps w:val="0"/>
          <w:webHidden/>
          <w:sz w:val="24"/>
          <w:szCs w:val="24"/>
        </w:rPr>
        <w:t>Following are general descriptions of the purpose and timing of each tool in the kit.</w:t>
      </w:r>
    </w:p>
    <w:p w14:paraId="628A7E30" w14:textId="77777777" w:rsidR="00A0264E" w:rsidRPr="00A0264E" w:rsidRDefault="00A0264E" w:rsidP="00D96E47">
      <w:pPr>
        <w:pStyle w:val="Level1"/>
        <w:spacing w:before="0" w:after="0"/>
        <w:rPr>
          <w:rFonts w:ascii="Source Sans Pro" w:hAnsi="Source Sans Pro"/>
          <w:caps w:val="0"/>
          <w:webHidden/>
          <w:sz w:val="24"/>
          <w:szCs w:val="24"/>
        </w:rPr>
      </w:pPr>
    </w:p>
    <w:p w14:paraId="26AE1C5C" w14:textId="57F95C34" w:rsidR="00DC5C4E" w:rsidRDefault="00AE1F0B" w:rsidP="003D15F0">
      <w:pPr>
        <w:pStyle w:val="Level1"/>
        <w:spacing w:before="0" w:after="0"/>
        <w:rPr>
          <w:rFonts w:ascii="Source Sans Pro" w:hAnsi="Source Sans Pro"/>
          <w:caps w:val="0"/>
          <w:webHidden/>
          <w:sz w:val="24"/>
          <w:szCs w:val="24"/>
        </w:rPr>
      </w:pPr>
      <w:r w:rsidRPr="005007C5">
        <w:rPr>
          <w:rFonts w:ascii="Source Sans Pro" w:hAnsi="Source Sans Pro"/>
          <w:caps w:val="0"/>
          <w:webHidden/>
          <w:color w:val="0070C0"/>
          <w:sz w:val="24"/>
          <w:szCs w:val="24"/>
        </w:rPr>
        <w:t>Fiscal Flow Charts</w:t>
      </w:r>
    </w:p>
    <w:p w14:paraId="14531FCB" w14:textId="77777777" w:rsidR="00D96E47" w:rsidRPr="00A0264E" w:rsidRDefault="00D96E47" w:rsidP="003D15F0">
      <w:pPr>
        <w:pStyle w:val="Level1"/>
        <w:spacing w:before="0" w:after="0"/>
        <w:rPr>
          <w:rFonts w:ascii="Source Sans Pro" w:hAnsi="Source Sans Pro"/>
          <w:caps w:val="0"/>
          <w:sz w:val="24"/>
          <w:szCs w:val="24"/>
        </w:rPr>
      </w:pPr>
    </w:p>
    <w:p w14:paraId="75FF724E" w14:textId="77777777" w:rsidR="00853556" w:rsidRDefault="00853556" w:rsidP="00853556">
      <w:pPr>
        <w:pStyle w:val="Level2"/>
        <w:ind w:left="360"/>
        <w:rPr>
          <w:rFonts w:ascii="Source Sans Pro" w:hAnsi="Source Sans Pro"/>
          <w:smallCaps w:val="0"/>
          <w:webHidden/>
          <w:sz w:val="24"/>
          <w:szCs w:val="24"/>
        </w:rPr>
      </w:pPr>
      <w:r w:rsidRPr="00EE0C15">
        <w:rPr>
          <w:rFonts w:ascii="Source Sans Pro" w:hAnsi="Source Sans Pro"/>
          <w:b/>
          <w:bCs/>
          <w:smallCaps w:val="0"/>
          <w:webHidden/>
          <w:sz w:val="24"/>
          <w:szCs w:val="24"/>
        </w:rPr>
        <w:t>Purpose:</w:t>
      </w:r>
      <w:r>
        <w:rPr>
          <w:rFonts w:ascii="Source Sans Pro" w:hAnsi="Source Sans Pro"/>
          <w:smallCaps w:val="0"/>
          <w:webHidden/>
          <w:sz w:val="24"/>
          <w:szCs w:val="24"/>
        </w:rPr>
        <w:t xml:space="preserve"> </w:t>
      </w:r>
      <w:r w:rsidR="00073EEA" w:rsidRPr="00A0264E">
        <w:rPr>
          <w:rFonts w:ascii="Source Sans Pro" w:hAnsi="Source Sans Pro"/>
          <w:smallCaps w:val="0"/>
          <w:webHidden/>
          <w:sz w:val="24"/>
          <w:szCs w:val="24"/>
        </w:rPr>
        <w:t xml:space="preserve">The </w:t>
      </w:r>
      <w:r w:rsidR="00AE1F0B" w:rsidRPr="00A0264E">
        <w:rPr>
          <w:rFonts w:ascii="Source Sans Pro" w:hAnsi="Source Sans Pro"/>
          <w:smallCaps w:val="0"/>
          <w:webHidden/>
          <w:sz w:val="24"/>
          <w:szCs w:val="24"/>
        </w:rPr>
        <w:t>Fiscal</w:t>
      </w:r>
      <w:r w:rsidR="00CD48CD" w:rsidRPr="00A0264E">
        <w:rPr>
          <w:rFonts w:ascii="Source Sans Pro" w:hAnsi="Source Sans Pro"/>
          <w:smallCaps w:val="0"/>
          <w:webHidden/>
          <w:sz w:val="24"/>
          <w:szCs w:val="24"/>
        </w:rPr>
        <w:t xml:space="preserve"> Flow Charts illustrate routine functions of a local workforce area to support fiscal officers and staff in translating program expenses into the local accounting system. The flow charts also offer definitions and DCEO policies for major functions when reporting into GRS.</w:t>
      </w:r>
    </w:p>
    <w:p w14:paraId="662246D4" w14:textId="77777777" w:rsidR="00853556" w:rsidRDefault="00853556" w:rsidP="00853556">
      <w:pPr>
        <w:pStyle w:val="Level2"/>
        <w:ind w:left="360"/>
        <w:rPr>
          <w:rFonts w:ascii="Source Sans Pro" w:hAnsi="Source Sans Pro"/>
          <w:smallCaps w:val="0"/>
          <w:webHidden/>
          <w:sz w:val="24"/>
          <w:szCs w:val="24"/>
        </w:rPr>
      </w:pPr>
    </w:p>
    <w:p w14:paraId="5AC71EFF" w14:textId="18479DB5" w:rsidR="00DC5CD2" w:rsidRDefault="004628C0" w:rsidP="00853556">
      <w:pPr>
        <w:pStyle w:val="Level2"/>
        <w:ind w:left="360"/>
        <w:rPr>
          <w:rFonts w:ascii="Source Sans Pro" w:hAnsi="Source Sans Pro"/>
          <w:smallCaps w:val="0"/>
          <w:webHidden/>
          <w:sz w:val="24"/>
          <w:szCs w:val="24"/>
        </w:rPr>
      </w:pPr>
      <w:r>
        <w:rPr>
          <w:rFonts w:ascii="Source Sans Pro" w:hAnsi="Source Sans Pro"/>
          <w:b/>
          <w:bCs/>
          <w:smallCaps w:val="0"/>
          <w:webHidden/>
          <w:sz w:val="24"/>
          <w:szCs w:val="24"/>
        </w:rPr>
        <w:t xml:space="preserve">Practical </w:t>
      </w:r>
      <w:r w:rsidR="00405E65">
        <w:rPr>
          <w:rFonts w:ascii="Source Sans Pro" w:hAnsi="Source Sans Pro"/>
          <w:b/>
          <w:bCs/>
          <w:smallCaps w:val="0"/>
          <w:webHidden/>
          <w:sz w:val="24"/>
          <w:szCs w:val="24"/>
        </w:rPr>
        <w:t>Application</w:t>
      </w:r>
      <w:r w:rsidR="00853556" w:rsidRPr="00EE0C15">
        <w:rPr>
          <w:rFonts w:ascii="Source Sans Pro" w:hAnsi="Source Sans Pro"/>
          <w:b/>
          <w:bCs/>
          <w:smallCaps w:val="0"/>
          <w:webHidden/>
          <w:sz w:val="24"/>
          <w:szCs w:val="24"/>
        </w:rPr>
        <w:t>:</w:t>
      </w:r>
      <w:r w:rsidR="00853556">
        <w:rPr>
          <w:rFonts w:ascii="Source Sans Pro" w:hAnsi="Source Sans Pro"/>
          <w:smallCaps w:val="0"/>
          <w:webHidden/>
          <w:sz w:val="24"/>
          <w:szCs w:val="24"/>
        </w:rPr>
        <w:t xml:space="preserve"> The flow charts support the functions of mapping accounts to GRS reporting codes, realizing monthly expenses, realizing accruals, reporting expenses and accruals, and realizing obligations. </w:t>
      </w:r>
    </w:p>
    <w:p w14:paraId="0A6986C4" w14:textId="77777777" w:rsidR="003D15F0" w:rsidRPr="00FD3827" w:rsidRDefault="003D15F0" w:rsidP="003D15F0">
      <w:pPr>
        <w:pStyle w:val="Level2"/>
        <w:ind w:left="1080"/>
        <w:rPr>
          <w:rFonts w:ascii="Source Sans Pro" w:hAnsi="Source Sans Pro"/>
          <w:smallCaps w:val="0"/>
          <w:webHidden/>
          <w:sz w:val="24"/>
          <w:szCs w:val="24"/>
        </w:rPr>
      </w:pPr>
    </w:p>
    <w:p w14:paraId="2088D4E9" w14:textId="2821A6E3" w:rsidR="00DC5C4E" w:rsidRPr="005007C5" w:rsidRDefault="00AE1F0B" w:rsidP="003D15F0">
      <w:pPr>
        <w:pStyle w:val="Level1"/>
        <w:spacing w:before="0" w:after="0"/>
        <w:rPr>
          <w:rFonts w:ascii="Source Sans Pro" w:hAnsi="Source Sans Pro"/>
          <w:caps w:val="0"/>
          <w:color w:val="0070C0"/>
          <w:sz w:val="24"/>
          <w:szCs w:val="24"/>
        </w:rPr>
      </w:pPr>
      <w:r w:rsidRPr="005007C5">
        <w:rPr>
          <w:rFonts w:ascii="Source Sans Pro" w:hAnsi="Source Sans Pro"/>
          <w:caps w:val="0"/>
          <w:webHidden/>
          <w:color w:val="0070C0"/>
          <w:sz w:val="24"/>
          <w:szCs w:val="24"/>
        </w:rPr>
        <w:t>Budget Framework</w:t>
      </w:r>
    </w:p>
    <w:p w14:paraId="5634E2B8" w14:textId="77777777" w:rsidR="00D96E47" w:rsidRDefault="00D96E47" w:rsidP="003D15F0">
      <w:pPr>
        <w:pStyle w:val="Level2"/>
        <w:ind w:left="360"/>
        <w:rPr>
          <w:rFonts w:ascii="Source Sans Pro" w:hAnsi="Source Sans Pro"/>
          <w:smallCaps w:val="0"/>
          <w:webHidden/>
          <w:sz w:val="24"/>
          <w:szCs w:val="24"/>
        </w:rPr>
      </w:pPr>
    </w:p>
    <w:p w14:paraId="03E32AA2" w14:textId="32992E49" w:rsidR="00EE0C15" w:rsidRDefault="00EE0C15" w:rsidP="00EE0C15">
      <w:pPr>
        <w:pStyle w:val="Level2"/>
        <w:ind w:left="360"/>
        <w:rPr>
          <w:rFonts w:ascii="Source Sans Pro" w:hAnsi="Source Sans Pro"/>
          <w:smallCaps w:val="0"/>
          <w:webHidden/>
          <w:sz w:val="24"/>
          <w:szCs w:val="24"/>
        </w:rPr>
      </w:pPr>
      <w:r w:rsidRPr="00EE0C15">
        <w:rPr>
          <w:rFonts w:ascii="Source Sans Pro" w:hAnsi="Source Sans Pro"/>
          <w:b/>
          <w:bCs/>
          <w:smallCaps w:val="0"/>
          <w:webHidden/>
          <w:sz w:val="24"/>
          <w:szCs w:val="24"/>
        </w:rPr>
        <w:t>Purpose:</w:t>
      </w:r>
      <w:r>
        <w:rPr>
          <w:rFonts w:ascii="Source Sans Pro" w:hAnsi="Source Sans Pro"/>
          <w:smallCaps w:val="0"/>
          <w:webHidden/>
          <w:sz w:val="24"/>
          <w:szCs w:val="24"/>
        </w:rPr>
        <w:t xml:space="preserve"> </w:t>
      </w:r>
      <w:r w:rsidR="00CD48CD" w:rsidRPr="00A0264E">
        <w:rPr>
          <w:rFonts w:ascii="Source Sans Pro" w:hAnsi="Source Sans Pro"/>
          <w:smallCaps w:val="0"/>
          <w:webHidden/>
          <w:sz w:val="24"/>
          <w:szCs w:val="24"/>
        </w:rPr>
        <w:t xml:space="preserve">The Budget Framework offers a </w:t>
      </w:r>
      <w:r w:rsidR="00E357A6">
        <w:rPr>
          <w:rFonts w:ascii="Source Sans Pro" w:hAnsi="Source Sans Pro"/>
          <w:smallCaps w:val="0"/>
          <w:webHidden/>
          <w:sz w:val="24"/>
          <w:szCs w:val="24"/>
        </w:rPr>
        <w:t xml:space="preserve">customizable </w:t>
      </w:r>
      <w:r w:rsidR="00CD48CD" w:rsidRPr="00A0264E">
        <w:rPr>
          <w:rFonts w:ascii="Source Sans Pro" w:hAnsi="Source Sans Pro"/>
          <w:smallCaps w:val="0"/>
          <w:webHidden/>
          <w:sz w:val="24"/>
          <w:szCs w:val="24"/>
        </w:rPr>
        <w:t xml:space="preserve">template </w:t>
      </w:r>
      <w:r w:rsidR="00E357A6">
        <w:rPr>
          <w:rFonts w:ascii="Source Sans Pro" w:hAnsi="Source Sans Pro"/>
          <w:smallCaps w:val="0"/>
          <w:webHidden/>
          <w:sz w:val="24"/>
          <w:szCs w:val="24"/>
        </w:rPr>
        <w:t xml:space="preserve">to guide annual processes of budget development, routine </w:t>
      </w:r>
      <w:proofErr w:type="gramStart"/>
      <w:r w:rsidR="00E357A6">
        <w:rPr>
          <w:rFonts w:ascii="Source Sans Pro" w:hAnsi="Source Sans Pro"/>
          <w:smallCaps w:val="0"/>
          <w:webHidden/>
          <w:sz w:val="24"/>
          <w:szCs w:val="24"/>
        </w:rPr>
        <w:t>maintenance</w:t>
      </w:r>
      <w:proofErr w:type="gramEnd"/>
      <w:r w:rsidR="00E357A6">
        <w:rPr>
          <w:rFonts w:ascii="Source Sans Pro" w:hAnsi="Source Sans Pro"/>
          <w:smallCaps w:val="0"/>
          <w:webHidden/>
          <w:sz w:val="24"/>
          <w:szCs w:val="24"/>
        </w:rPr>
        <w:t xml:space="preserve"> and significant modifications. </w:t>
      </w:r>
    </w:p>
    <w:p w14:paraId="0B2DD4C8" w14:textId="77777777" w:rsidR="00EE0C15" w:rsidRDefault="00EE0C15" w:rsidP="00EE0C15">
      <w:pPr>
        <w:pStyle w:val="Level2"/>
        <w:ind w:left="360"/>
        <w:rPr>
          <w:rFonts w:ascii="Source Sans Pro" w:hAnsi="Source Sans Pro"/>
          <w:smallCaps w:val="0"/>
          <w:webHidden/>
          <w:sz w:val="24"/>
          <w:szCs w:val="24"/>
        </w:rPr>
      </w:pPr>
    </w:p>
    <w:p w14:paraId="1F54DD92" w14:textId="63CA2E09" w:rsidR="00FD3827" w:rsidRPr="00A0264E" w:rsidRDefault="004628C0" w:rsidP="00EE0C15">
      <w:pPr>
        <w:pStyle w:val="Level2"/>
        <w:ind w:left="360"/>
        <w:rPr>
          <w:rFonts w:ascii="Source Sans Pro" w:hAnsi="Source Sans Pro"/>
          <w:smallCaps w:val="0"/>
          <w:webHidden/>
          <w:sz w:val="24"/>
          <w:szCs w:val="24"/>
        </w:rPr>
      </w:pPr>
      <w:r>
        <w:rPr>
          <w:rFonts w:ascii="Source Sans Pro" w:hAnsi="Source Sans Pro"/>
          <w:b/>
          <w:bCs/>
          <w:smallCaps w:val="0"/>
          <w:webHidden/>
          <w:sz w:val="24"/>
          <w:szCs w:val="24"/>
        </w:rPr>
        <w:t xml:space="preserve">Practical </w:t>
      </w:r>
      <w:r w:rsidR="00405E65">
        <w:rPr>
          <w:rFonts w:ascii="Source Sans Pro" w:hAnsi="Source Sans Pro"/>
          <w:b/>
          <w:bCs/>
          <w:smallCaps w:val="0"/>
          <w:webHidden/>
          <w:sz w:val="24"/>
          <w:szCs w:val="24"/>
        </w:rPr>
        <w:t>Application</w:t>
      </w:r>
      <w:r w:rsidR="00FD3827" w:rsidRPr="000070F3">
        <w:rPr>
          <w:rFonts w:ascii="Source Sans Pro" w:hAnsi="Source Sans Pro"/>
          <w:b/>
          <w:bCs/>
          <w:smallCaps w:val="0"/>
          <w:webHidden/>
          <w:sz w:val="24"/>
          <w:szCs w:val="24"/>
        </w:rPr>
        <w:t>:</w:t>
      </w:r>
      <w:r w:rsidR="00FD3827">
        <w:rPr>
          <w:rFonts w:ascii="Source Sans Pro" w:hAnsi="Source Sans Pro"/>
          <w:smallCaps w:val="0"/>
          <w:webHidden/>
          <w:sz w:val="24"/>
          <w:szCs w:val="24"/>
        </w:rPr>
        <w:t xml:space="preserve"> </w:t>
      </w:r>
      <w:r w:rsidR="00EE0F23">
        <w:rPr>
          <w:rFonts w:ascii="Source Sans Pro" w:hAnsi="Source Sans Pro"/>
          <w:smallCaps w:val="0"/>
          <w:webHidden/>
          <w:sz w:val="24"/>
          <w:szCs w:val="24"/>
        </w:rPr>
        <w:t xml:space="preserve">The Budget Framework offers a starting point for conversation about the timelines, </w:t>
      </w:r>
      <w:proofErr w:type="gramStart"/>
      <w:r w:rsidR="00EE0F23">
        <w:rPr>
          <w:rFonts w:ascii="Source Sans Pro" w:hAnsi="Source Sans Pro"/>
          <w:smallCaps w:val="0"/>
          <w:webHidden/>
          <w:sz w:val="24"/>
          <w:szCs w:val="24"/>
        </w:rPr>
        <w:t>process</w:t>
      </w:r>
      <w:r w:rsidR="00CD4660">
        <w:rPr>
          <w:rFonts w:ascii="Source Sans Pro" w:hAnsi="Source Sans Pro"/>
          <w:smallCaps w:val="0"/>
          <w:webHidden/>
          <w:sz w:val="24"/>
          <w:szCs w:val="24"/>
        </w:rPr>
        <w:t>es</w:t>
      </w:r>
      <w:proofErr w:type="gramEnd"/>
      <w:r w:rsidR="00EE0F23">
        <w:rPr>
          <w:rFonts w:ascii="Source Sans Pro" w:hAnsi="Source Sans Pro"/>
          <w:smallCaps w:val="0"/>
          <w:webHidden/>
          <w:sz w:val="24"/>
          <w:szCs w:val="24"/>
        </w:rPr>
        <w:t xml:space="preserve"> and level of staff engagement around each step of budget development, maintenance and modification. The framework should be </w:t>
      </w:r>
      <w:r w:rsidR="00CA425F">
        <w:rPr>
          <w:rFonts w:ascii="Source Sans Pro" w:hAnsi="Source Sans Pro"/>
          <w:smallCaps w:val="0"/>
          <w:webHidden/>
          <w:sz w:val="24"/>
          <w:szCs w:val="24"/>
        </w:rPr>
        <w:t xml:space="preserve">refreshed each year as the budget development process begins so that timelines, </w:t>
      </w:r>
      <w:proofErr w:type="gramStart"/>
      <w:r w:rsidR="00CA425F">
        <w:rPr>
          <w:rFonts w:ascii="Source Sans Pro" w:hAnsi="Source Sans Pro"/>
          <w:smallCaps w:val="0"/>
          <w:webHidden/>
          <w:sz w:val="24"/>
          <w:szCs w:val="24"/>
        </w:rPr>
        <w:t>processes</w:t>
      </w:r>
      <w:proofErr w:type="gramEnd"/>
      <w:r w:rsidR="00CA425F">
        <w:rPr>
          <w:rFonts w:ascii="Source Sans Pro" w:hAnsi="Source Sans Pro"/>
          <w:smallCaps w:val="0"/>
          <w:webHidden/>
          <w:sz w:val="24"/>
          <w:szCs w:val="24"/>
        </w:rPr>
        <w:t xml:space="preserve"> and roles are clear to all involved. </w:t>
      </w:r>
    </w:p>
    <w:p w14:paraId="3E888909" w14:textId="77777777" w:rsidR="00AE1F0B" w:rsidRPr="00A0264E" w:rsidRDefault="00AE1F0B" w:rsidP="003D15F0">
      <w:pPr>
        <w:pStyle w:val="Level2"/>
        <w:rPr>
          <w:rFonts w:ascii="Source Sans Pro" w:hAnsi="Source Sans Pro"/>
          <w:smallCaps w:val="0"/>
          <w:webHidden/>
          <w:sz w:val="24"/>
          <w:szCs w:val="24"/>
        </w:rPr>
      </w:pPr>
    </w:p>
    <w:p w14:paraId="0DE35CA7" w14:textId="6A71A2C5" w:rsidR="00AE1F0B" w:rsidRPr="005007C5" w:rsidRDefault="00AE1F0B" w:rsidP="00D96E47">
      <w:pPr>
        <w:pStyle w:val="Level2"/>
        <w:ind w:left="0"/>
        <w:rPr>
          <w:rFonts w:ascii="Source Sans Pro" w:hAnsi="Source Sans Pro"/>
          <w:smallCaps w:val="0"/>
          <w:webHidden/>
          <w:color w:val="0070C0"/>
          <w:sz w:val="24"/>
          <w:szCs w:val="24"/>
        </w:rPr>
      </w:pPr>
      <w:r w:rsidRPr="005007C5">
        <w:rPr>
          <w:rFonts w:ascii="Source Sans Pro" w:hAnsi="Source Sans Pro"/>
          <w:b/>
          <w:bCs/>
          <w:smallCaps w:val="0"/>
          <w:webHidden/>
          <w:color w:val="0070C0"/>
          <w:sz w:val="24"/>
          <w:szCs w:val="24"/>
        </w:rPr>
        <w:t>Scenario Budget</w:t>
      </w:r>
    </w:p>
    <w:p w14:paraId="55094D88" w14:textId="77777777" w:rsidR="00D96E47" w:rsidRDefault="00D96E47" w:rsidP="003D15F0">
      <w:pPr>
        <w:pStyle w:val="Level3"/>
        <w:ind w:left="360"/>
        <w:rPr>
          <w:rFonts w:ascii="Source Sans Pro" w:hAnsi="Source Sans Pro"/>
          <w:i w:val="0"/>
          <w:iCs w:val="0"/>
          <w:webHidden/>
          <w:sz w:val="24"/>
          <w:szCs w:val="24"/>
        </w:rPr>
      </w:pPr>
    </w:p>
    <w:p w14:paraId="02835ABA" w14:textId="6AF1066D" w:rsidR="00B4029B" w:rsidRDefault="005007C5" w:rsidP="003D15F0">
      <w:pPr>
        <w:pStyle w:val="Level3"/>
        <w:ind w:left="360"/>
        <w:rPr>
          <w:rFonts w:ascii="Source Sans Pro" w:hAnsi="Source Sans Pro"/>
          <w:i w:val="0"/>
          <w:iCs w:val="0"/>
          <w:webHidden/>
          <w:sz w:val="24"/>
          <w:szCs w:val="24"/>
        </w:rPr>
      </w:pPr>
      <w:r w:rsidRPr="00690347">
        <w:rPr>
          <w:rFonts w:ascii="Source Sans Pro" w:hAnsi="Source Sans Pro"/>
          <w:b/>
          <w:bCs/>
          <w:i w:val="0"/>
          <w:iCs w:val="0"/>
          <w:webHidden/>
          <w:sz w:val="24"/>
          <w:szCs w:val="24"/>
        </w:rPr>
        <w:t>Purpose:</w:t>
      </w:r>
      <w:r>
        <w:rPr>
          <w:rFonts w:ascii="Source Sans Pro" w:hAnsi="Source Sans Pro"/>
          <w:i w:val="0"/>
          <w:iCs w:val="0"/>
          <w:webHidden/>
          <w:sz w:val="24"/>
          <w:szCs w:val="24"/>
        </w:rPr>
        <w:t xml:space="preserve"> </w:t>
      </w:r>
      <w:r w:rsidR="00B4029B" w:rsidRPr="00A0264E">
        <w:rPr>
          <w:rFonts w:ascii="Source Sans Pro" w:hAnsi="Source Sans Pro"/>
          <w:i w:val="0"/>
          <w:iCs w:val="0"/>
          <w:webHidden/>
          <w:sz w:val="24"/>
          <w:szCs w:val="24"/>
        </w:rPr>
        <w:t xml:space="preserve">The Scenario Budget spreadsheet </w:t>
      </w:r>
      <w:r w:rsidR="00932CF2">
        <w:rPr>
          <w:rFonts w:ascii="Source Sans Pro" w:hAnsi="Source Sans Pro"/>
          <w:i w:val="0"/>
          <w:iCs w:val="0"/>
          <w:webHidden/>
          <w:sz w:val="24"/>
          <w:szCs w:val="24"/>
        </w:rPr>
        <w:t xml:space="preserve">is a template to forecast outcomes </w:t>
      </w:r>
      <w:r w:rsidR="00CC62ED">
        <w:rPr>
          <w:rFonts w:ascii="Source Sans Pro" w:hAnsi="Source Sans Pro"/>
          <w:i w:val="0"/>
          <w:iCs w:val="0"/>
          <w:webHidden/>
          <w:sz w:val="24"/>
          <w:szCs w:val="24"/>
        </w:rPr>
        <w:t xml:space="preserve">if such </w:t>
      </w:r>
      <w:r w:rsidR="00932CF2">
        <w:rPr>
          <w:rFonts w:ascii="Source Sans Pro" w:hAnsi="Source Sans Pro"/>
          <w:i w:val="0"/>
          <w:iCs w:val="0"/>
          <w:webHidden/>
          <w:sz w:val="24"/>
          <w:szCs w:val="24"/>
        </w:rPr>
        <w:t xml:space="preserve">variables </w:t>
      </w:r>
      <w:r w:rsidR="00CC62ED">
        <w:rPr>
          <w:rFonts w:ascii="Source Sans Pro" w:hAnsi="Source Sans Pro"/>
          <w:i w:val="0"/>
          <w:iCs w:val="0"/>
          <w:webHidden/>
          <w:sz w:val="24"/>
          <w:szCs w:val="24"/>
        </w:rPr>
        <w:t xml:space="preserve">were to change </w:t>
      </w:r>
      <w:r w:rsidR="00292F53">
        <w:rPr>
          <w:rFonts w:ascii="Source Sans Pro" w:hAnsi="Source Sans Pro"/>
          <w:i w:val="0"/>
          <w:iCs w:val="0"/>
          <w:webHidden/>
          <w:sz w:val="24"/>
          <w:szCs w:val="24"/>
        </w:rPr>
        <w:t xml:space="preserve">as </w:t>
      </w:r>
      <w:r w:rsidR="00932CF2">
        <w:rPr>
          <w:rFonts w:ascii="Source Sans Pro" w:hAnsi="Source Sans Pro"/>
          <w:i w:val="0"/>
          <w:iCs w:val="0"/>
          <w:webHidden/>
          <w:sz w:val="24"/>
          <w:szCs w:val="24"/>
        </w:rPr>
        <w:t xml:space="preserve">income, </w:t>
      </w:r>
      <w:r w:rsidR="00B4029B" w:rsidRPr="00A0264E">
        <w:rPr>
          <w:rFonts w:ascii="Source Sans Pro" w:hAnsi="Source Sans Pro"/>
          <w:i w:val="0"/>
          <w:iCs w:val="0"/>
          <w:webHidden/>
          <w:sz w:val="24"/>
          <w:szCs w:val="24"/>
        </w:rPr>
        <w:t xml:space="preserve">expenses, </w:t>
      </w:r>
      <w:r w:rsidR="00932CF2">
        <w:rPr>
          <w:rFonts w:ascii="Source Sans Pro" w:hAnsi="Source Sans Pro"/>
          <w:i w:val="0"/>
          <w:iCs w:val="0"/>
          <w:webHidden/>
          <w:sz w:val="24"/>
          <w:szCs w:val="24"/>
        </w:rPr>
        <w:t xml:space="preserve">or </w:t>
      </w:r>
      <w:r w:rsidR="00B4029B" w:rsidRPr="00A0264E">
        <w:rPr>
          <w:rFonts w:ascii="Source Sans Pro" w:hAnsi="Source Sans Pro"/>
          <w:i w:val="0"/>
          <w:iCs w:val="0"/>
          <w:webHidden/>
          <w:sz w:val="24"/>
          <w:szCs w:val="24"/>
        </w:rPr>
        <w:t xml:space="preserve">carry-in funding. </w:t>
      </w:r>
    </w:p>
    <w:p w14:paraId="3B90678D" w14:textId="2DE1720D" w:rsidR="00E0396F" w:rsidRDefault="00E0396F" w:rsidP="003D15F0">
      <w:pPr>
        <w:pStyle w:val="Level3"/>
        <w:ind w:left="360"/>
        <w:rPr>
          <w:rFonts w:ascii="Source Sans Pro" w:hAnsi="Source Sans Pro"/>
          <w:i w:val="0"/>
          <w:iCs w:val="0"/>
          <w:webHidden/>
          <w:sz w:val="24"/>
          <w:szCs w:val="24"/>
        </w:rPr>
      </w:pPr>
    </w:p>
    <w:p w14:paraId="494F0F56" w14:textId="2D9D7392" w:rsidR="00C55759" w:rsidRPr="00C55759" w:rsidRDefault="00E0396F" w:rsidP="002F6B88">
      <w:pPr>
        <w:pStyle w:val="Level3"/>
        <w:ind w:left="360"/>
        <w:rPr>
          <w:rFonts w:ascii="Source Sans Pro" w:hAnsi="Source Sans Pro"/>
          <w:i w:val="0"/>
          <w:iCs w:val="0"/>
          <w:webHidden/>
          <w:sz w:val="24"/>
          <w:szCs w:val="24"/>
        </w:rPr>
      </w:pPr>
      <w:r>
        <w:rPr>
          <w:rFonts w:ascii="Source Sans Pro" w:hAnsi="Source Sans Pro"/>
          <w:b/>
          <w:bCs/>
          <w:i w:val="0"/>
          <w:iCs w:val="0"/>
          <w:webHidden/>
          <w:sz w:val="24"/>
          <w:szCs w:val="24"/>
        </w:rPr>
        <w:t>Practical Application:</w:t>
      </w:r>
      <w:r>
        <w:rPr>
          <w:rFonts w:ascii="Source Sans Pro" w:hAnsi="Source Sans Pro"/>
          <w:i w:val="0"/>
          <w:iCs w:val="0"/>
          <w:webHidden/>
          <w:sz w:val="24"/>
          <w:szCs w:val="24"/>
        </w:rPr>
        <w:t xml:space="preserve"> Fiscal and program managers can try different income or expense scenarios during the budget development process or at any time a significant change is needed to meet DCEO benchmarks. </w:t>
      </w:r>
      <w:r w:rsidR="002F6B88">
        <w:rPr>
          <w:rFonts w:ascii="Source Sans Pro" w:hAnsi="Source Sans Pro"/>
          <w:i w:val="0"/>
          <w:iCs w:val="0"/>
          <w:webHidden/>
          <w:sz w:val="24"/>
          <w:szCs w:val="24"/>
        </w:rPr>
        <w:t xml:space="preserve">Data is </w:t>
      </w:r>
      <w:r w:rsidR="003C19C0">
        <w:rPr>
          <w:rFonts w:ascii="Source Sans Pro" w:hAnsi="Source Sans Pro"/>
          <w:i w:val="0"/>
          <w:iCs w:val="0"/>
          <w:webHidden/>
          <w:sz w:val="24"/>
          <w:szCs w:val="24"/>
        </w:rPr>
        <w:t xml:space="preserve">entered </w:t>
      </w:r>
      <w:r w:rsidR="002F6B88">
        <w:rPr>
          <w:rFonts w:ascii="Source Sans Pro" w:hAnsi="Source Sans Pro"/>
          <w:i w:val="0"/>
          <w:iCs w:val="0"/>
          <w:webHidden/>
          <w:sz w:val="24"/>
          <w:szCs w:val="24"/>
        </w:rPr>
        <w:t xml:space="preserve">from </w:t>
      </w:r>
      <w:r w:rsidR="00C55759" w:rsidRPr="00C55759">
        <w:rPr>
          <w:rFonts w:ascii="Source Sans Pro" w:hAnsi="Source Sans Pro"/>
          <w:i w:val="0"/>
          <w:iCs w:val="0"/>
          <w:webHidden/>
          <w:sz w:val="24"/>
          <w:szCs w:val="24"/>
        </w:rPr>
        <w:t xml:space="preserve">prior year </w:t>
      </w:r>
      <w:r w:rsidR="002F6B88">
        <w:rPr>
          <w:rFonts w:ascii="Source Sans Pro" w:hAnsi="Source Sans Pro"/>
          <w:i w:val="0"/>
          <w:iCs w:val="0"/>
          <w:webHidden/>
          <w:sz w:val="24"/>
          <w:szCs w:val="24"/>
        </w:rPr>
        <w:t xml:space="preserve">actual income and </w:t>
      </w:r>
      <w:r w:rsidR="00C55759" w:rsidRPr="00C55759">
        <w:rPr>
          <w:rFonts w:ascii="Source Sans Pro" w:hAnsi="Source Sans Pro"/>
          <w:i w:val="0"/>
          <w:iCs w:val="0"/>
          <w:webHidden/>
          <w:sz w:val="24"/>
          <w:szCs w:val="24"/>
        </w:rPr>
        <w:t xml:space="preserve">expenses and projected </w:t>
      </w:r>
      <w:r w:rsidR="002F6B88">
        <w:rPr>
          <w:rFonts w:ascii="Source Sans Pro" w:hAnsi="Source Sans Pro"/>
          <w:i w:val="0"/>
          <w:iCs w:val="0"/>
          <w:webHidden/>
          <w:sz w:val="24"/>
          <w:szCs w:val="24"/>
        </w:rPr>
        <w:t xml:space="preserve">income and </w:t>
      </w:r>
      <w:r w:rsidR="00C55759" w:rsidRPr="00C55759">
        <w:rPr>
          <w:rFonts w:ascii="Source Sans Pro" w:hAnsi="Source Sans Pro"/>
          <w:i w:val="0"/>
          <w:iCs w:val="0"/>
          <w:webHidden/>
          <w:sz w:val="24"/>
          <w:szCs w:val="24"/>
        </w:rPr>
        <w:t>expenses</w:t>
      </w:r>
      <w:r w:rsidR="003C19C0">
        <w:rPr>
          <w:rFonts w:ascii="Source Sans Pro" w:hAnsi="Source Sans Pro"/>
          <w:i w:val="0"/>
          <w:iCs w:val="0"/>
          <w:webHidden/>
          <w:sz w:val="24"/>
          <w:szCs w:val="24"/>
        </w:rPr>
        <w:t xml:space="preserve">, while the </w:t>
      </w:r>
      <w:r w:rsidR="003C19C0">
        <w:rPr>
          <w:rFonts w:ascii="Source Sans Pro" w:hAnsi="Source Sans Pro"/>
          <w:i w:val="0"/>
          <w:iCs w:val="0"/>
          <w:webHidden/>
          <w:sz w:val="24"/>
          <w:szCs w:val="24"/>
        </w:rPr>
        <w:lastRenderedPageBreak/>
        <w:t xml:space="preserve">budget implications and adjustments </w:t>
      </w:r>
      <w:r w:rsidR="009155A0">
        <w:rPr>
          <w:rFonts w:ascii="Source Sans Pro" w:hAnsi="Source Sans Pro"/>
          <w:i w:val="0"/>
          <w:iCs w:val="0"/>
          <w:webHidden/>
          <w:sz w:val="24"/>
          <w:szCs w:val="24"/>
        </w:rPr>
        <w:t xml:space="preserve">of each scenario </w:t>
      </w:r>
      <w:r w:rsidR="003C19C0">
        <w:rPr>
          <w:rFonts w:ascii="Source Sans Pro" w:hAnsi="Source Sans Pro"/>
          <w:i w:val="0"/>
          <w:iCs w:val="0"/>
          <w:webHidden/>
          <w:sz w:val="24"/>
          <w:szCs w:val="24"/>
        </w:rPr>
        <w:t>auto-calculate</w:t>
      </w:r>
      <w:r w:rsidR="00C55759" w:rsidRPr="00C55759">
        <w:rPr>
          <w:rFonts w:ascii="Source Sans Pro" w:hAnsi="Source Sans Pro"/>
          <w:i w:val="0"/>
          <w:iCs w:val="0"/>
          <w:webHidden/>
          <w:sz w:val="24"/>
          <w:szCs w:val="24"/>
        </w:rPr>
        <w:t>.</w:t>
      </w:r>
      <w:r w:rsidR="00332852">
        <w:rPr>
          <w:rFonts w:ascii="Source Sans Pro" w:hAnsi="Source Sans Pro"/>
          <w:i w:val="0"/>
          <w:iCs w:val="0"/>
          <w:webHidden/>
          <w:sz w:val="24"/>
          <w:szCs w:val="24"/>
        </w:rPr>
        <w:t xml:space="preserve"> </w:t>
      </w:r>
      <w:r w:rsidR="00BB17EE">
        <w:rPr>
          <w:rFonts w:ascii="Source Sans Pro" w:hAnsi="Source Sans Pro"/>
          <w:i w:val="0"/>
          <w:iCs w:val="0"/>
          <w:webHidden/>
          <w:sz w:val="24"/>
          <w:szCs w:val="24"/>
        </w:rPr>
        <w:t xml:space="preserve">Fiscal managers can </w:t>
      </w:r>
      <w:r w:rsidR="009506AC">
        <w:rPr>
          <w:rFonts w:ascii="Source Sans Pro" w:hAnsi="Source Sans Pro"/>
          <w:i w:val="0"/>
          <w:iCs w:val="0"/>
          <w:webHidden/>
          <w:sz w:val="24"/>
          <w:szCs w:val="24"/>
        </w:rPr>
        <w:t xml:space="preserve">use the </w:t>
      </w:r>
      <w:r w:rsidR="00266146">
        <w:rPr>
          <w:rFonts w:ascii="Source Sans Pro" w:hAnsi="Source Sans Pro"/>
          <w:i w:val="0"/>
          <w:iCs w:val="0"/>
          <w:webHidden/>
          <w:sz w:val="24"/>
          <w:szCs w:val="24"/>
        </w:rPr>
        <w:t xml:space="preserve">different </w:t>
      </w:r>
      <w:r w:rsidR="009506AC">
        <w:rPr>
          <w:rFonts w:ascii="Source Sans Pro" w:hAnsi="Source Sans Pro"/>
          <w:i w:val="0"/>
          <w:iCs w:val="0"/>
          <w:webHidden/>
          <w:sz w:val="24"/>
          <w:szCs w:val="24"/>
        </w:rPr>
        <w:t xml:space="preserve">scenarios to </w:t>
      </w:r>
      <w:r w:rsidR="00BB17EE">
        <w:rPr>
          <w:rFonts w:ascii="Source Sans Pro" w:hAnsi="Source Sans Pro"/>
          <w:i w:val="0"/>
          <w:iCs w:val="0"/>
          <w:webHidden/>
          <w:sz w:val="24"/>
          <w:szCs w:val="24"/>
        </w:rPr>
        <w:t xml:space="preserve">raise questions for discussion with administrators about the program implications </w:t>
      </w:r>
      <w:r w:rsidR="00266146">
        <w:rPr>
          <w:rFonts w:ascii="Source Sans Pro" w:hAnsi="Source Sans Pro"/>
          <w:i w:val="0"/>
          <w:iCs w:val="0"/>
          <w:webHidden/>
          <w:sz w:val="24"/>
          <w:szCs w:val="24"/>
        </w:rPr>
        <w:t xml:space="preserve">and capacities needed. </w:t>
      </w:r>
    </w:p>
    <w:p w14:paraId="7C681C07" w14:textId="77777777" w:rsidR="00B4029B" w:rsidRPr="00A0264E" w:rsidRDefault="00B4029B" w:rsidP="003D15F0">
      <w:pPr>
        <w:pStyle w:val="Level3"/>
        <w:ind w:left="0"/>
        <w:rPr>
          <w:rFonts w:ascii="Source Sans Pro" w:hAnsi="Source Sans Pro"/>
          <w:i w:val="0"/>
          <w:iCs w:val="0"/>
          <w:webHidden/>
          <w:sz w:val="24"/>
          <w:szCs w:val="24"/>
        </w:rPr>
      </w:pPr>
    </w:p>
    <w:p w14:paraId="07EF9F0A" w14:textId="65D9B268" w:rsidR="00DC5C4E" w:rsidRPr="00352108" w:rsidRDefault="00AE1F0B" w:rsidP="003D15F0">
      <w:pPr>
        <w:pStyle w:val="Level3"/>
        <w:ind w:left="0"/>
        <w:rPr>
          <w:rFonts w:ascii="Source Sans Pro" w:hAnsi="Source Sans Pro"/>
          <w:color w:val="0070C0"/>
          <w:sz w:val="24"/>
          <w:szCs w:val="24"/>
        </w:rPr>
      </w:pPr>
      <w:r w:rsidRPr="00352108">
        <w:rPr>
          <w:rFonts w:ascii="Source Sans Pro" w:hAnsi="Source Sans Pro"/>
          <w:b/>
          <w:bCs/>
          <w:i w:val="0"/>
          <w:iCs w:val="0"/>
          <w:webHidden/>
          <w:color w:val="0070C0"/>
          <w:sz w:val="24"/>
          <w:szCs w:val="24"/>
        </w:rPr>
        <w:t>Participant Average Costs</w:t>
      </w:r>
    </w:p>
    <w:p w14:paraId="2EC5098A" w14:textId="560ED106" w:rsidR="00AE1F0B" w:rsidRPr="00A0264E" w:rsidRDefault="00AE1F0B" w:rsidP="003D15F0">
      <w:pPr>
        <w:pStyle w:val="Level3"/>
        <w:rPr>
          <w:rFonts w:ascii="Source Sans Pro" w:hAnsi="Source Sans Pro"/>
          <w:i w:val="0"/>
          <w:iCs w:val="0"/>
          <w:webHidden/>
          <w:sz w:val="24"/>
          <w:szCs w:val="24"/>
        </w:rPr>
      </w:pPr>
    </w:p>
    <w:p w14:paraId="5605BBE7" w14:textId="2E14CB66" w:rsidR="00352108" w:rsidRDefault="00352108" w:rsidP="00352108">
      <w:pPr>
        <w:pStyle w:val="Level3"/>
        <w:rPr>
          <w:rFonts w:ascii="Source Sans Pro" w:hAnsi="Source Sans Pro"/>
          <w:i w:val="0"/>
          <w:iCs w:val="0"/>
          <w:webHidden/>
          <w:sz w:val="24"/>
          <w:szCs w:val="24"/>
        </w:rPr>
      </w:pPr>
      <w:r w:rsidRPr="00352108">
        <w:rPr>
          <w:rFonts w:ascii="Source Sans Pro" w:hAnsi="Source Sans Pro"/>
          <w:b/>
          <w:bCs/>
          <w:i w:val="0"/>
          <w:iCs w:val="0"/>
          <w:webHidden/>
          <w:sz w:val="24"/>
          <w:szCs w:val="24"/>
        </w:rPr>
        <w:t>Purpose:</w:t>
      </w:r>
      <w:r>
        <w:rPr>
          <w:rFonts w:ascii="Source Sans Pro" w:hAnsi="Source Sans Pro"/>
          <w:i w:val="0"/>
          <w:iCs w:val="0"/>
          <w:webHidden/>
          <w:sz w:val="24"/>
          <w:szCs w:val="24"/>
        </w:rPr>
        <w:t xml:space="preserve"> </w:t>
      </w:r>
      <w:r w:rsidR="00A66D14" w:rsidRPr="00A0264E">
        <w:rPr>
          <w:rFonts w:ascii="Source Sans Pro" w:hAnsi="Source Sans Pro"/>
          <w:i w:val="0"/>
          <w:iCs w:val="0"/>
          <w:webHidden/>
          <w:sz w:val="24"/>
          <w:szCs w:val="24"/>
        </w:rPr>
        <w:t xml:space="preserve">The </w:t>
      </w:r>
      <w:r w:rsidR="00B4029B" w:rsidRPr="00A0264E">
        <w:rPr>
          <w:rFonts w:ascii="Source Sans Pro" w:hAnsi="Source Sans Pro"/>
          <w:i w:val="0"/>
          <w:iCs w:val="0"/>
          <w:webHidden/>
          <w:sz w:val="24"/>
          <w:szCs w:val="24"/>
        </w:rPr>
        <w:t xml:space="preserve">Participant Average Costs spreadsheet </w:t>
      </w:r>
      <w:r w:rsidR="008F497A">
        <w:rPr>
          <w:rFonts w:ascii="Source Sans Pro" w:hAnsi="Source Sans Pro"/>
          <w:i w:val="0"/>
          <w:iCs w:val="0"/>
          <w:webHidden/>
          <w:sz w:val="24"/>
          <w:szCs w:val="24"/>
        </w:rPr>
        <w:t xml:space="preserve">provides an auto-calculation of </w:t>
      </w:r>
      <w:r w:rsidR="00B4029B" w:rsidRPr="00A0264E">
        <w:rPr>
          <w:rFonts w:ascii="Source Sans Pro" w:hAnsi="Source Sans Pro"/>
          <w:i w:val="0"/>
          <w:iCs w:val="0"/>
          <w:webHidden/>
          <w:sz w:val="24"/>
          <w:szCs w:val="24"/>
        </w:rPr>
        <w:t xml:space="preserve">the average cost per participant </w:t>
      </w:r>
      <w:r w:rsidR="00691317">
        <w:rPr>
          <w:rFonts w:ascii="Source Sans Pro" w:hAnsi="Source Sans Pro"/>
          <w:i w:val="0"/>
          <w:iCs w:val="0"/>
          <w:webHidden/>
          <w:sz w:val="24"/>
          <w:szCs w:val="24"/>
        </w:rPr>
        <w:t xml:space="preserve">based on actual or estimated expenses to </w:t>
      </w:r>
      <w:r w:rsidR="0027668E">
        <w:rPr>
          <w:rFonts w:ascii="Source Sans Pro" w:hAnsi="Source Sans Pro"/>
          <w:i w:val="0"/>
          <w:iCs w:val="0"/>
          <w:webHidden/>
          <w:sz w:val="24"/>
          <w:szCs w:val="24"/>
        </w:rPr>
        <w:t xml:space="preserve">identify </w:t>
      </w:r>
      <w:r w:rsidR="00691317">
        <w:rPr>
          <w:rFonts w:ascii="Source Sans Pro" w:hAnsi="Source Sans Pro"/>
          <w:i w:val="0"/>
          <w:iCs w:val="0"/>
          <w:webHidden/>
          <w:sz w:val="24"/>
          <w:szCs w:val="24"/>
        </w:rPr>
        <w:t>(1</w:t>
      </w:r>
      <w:r w:rsidR="0027668E">
        <w:rPr>
          <w:rFonts w:ascii="Source Sans Pro" w:hAnsi="Source Sans Pro"/>
          <w:i w:val="0"/>
          <w:iCs w:val="0"/>
          <w:webHidden/>
          <w:sz w:val="24"/>
          <w:szCs w:val="24"/>
        </w:rPr>
        <w:t xml:space="preserve">) </w:t>
      </w:r>
      <w:r w:rsidR="00691317">
        <w:rPr>
          <w:rFonts w:ascii="Source Sans Pro" w:hAnsi="Source Sans Pro"/>
          <w:i w:val="0"/>
          <w:iCs w:val="0"/>
          <w:webHidden/>
          <w:sz w:val="24"/>
          <w:szCs w:val="24"/>
        </w:rPr>
        <w:t xml:space="preserve">the number of participants needed to meet DCEO benchmarks and (2) </w:t>
      </w:r>
      <w:r w:rsidR="0027668E">
        <w:rPr>
          <w:rFonts w:ascii="Source Sans Pro" w:hAnsi="Source Sans Pro"/>
          <w:i w:val="0"/>
          <w:iCs w:val="0"/>
          <w:webHidden/>
          <w:sz w:val="24"/>
          <w:szCs w:val="24"/>
        </w:rPr>
        <w:t>the remaining budget</w:t>
      </w:r>
      <w:r w:rsidR="00C94E9C">
        <w:rPr>
          <w:rFonts w:ascii="Source Sans Pro" w:hAnsi="Source Sans Pro"/>
          <w:i w:val="0"/>
          <w:iCs w:val="0"/>
          <w:webHidden/>
          <w:sz w:val="24"/>
          <w:szCs w:val="24"/>
        </w:rPr>
        <w:t>.</w:t>
      </w:r>
    </w:p>
    <w:p w14:paraId="52CBE4B3" w14:textId="77777777" w:rsidR="00352108" w:rsidRDefault="00352108" w:rsidP="00352108">
      <w:pPr>
        <w:pStyle w:val="Level3"/>
        <w:rPr>
          <w:rFonts w:ascii="Source Sans Pro" w:hAnsi="Source Sans Pro"/>
          <w:i w:val="0"/>
          <w:iCs w:val="0"/>
          <w:webHidden/>
          <w:sz w:val="24"/>
          <w:szCs w:val="24"/>
        </w:rPr>
      </w:pPr>
    </w:p>
    <w:p w14:paraId="02853710" w14:textId="182DCA7D" w:rsidR="00DA2BB7" w:rsidRPr="00A0264E" w:rsidRDefault="00352108" w:rsidP="005E0526">
      <w:pPr>
        <w:pStyle w:val="Level3"/>
        <w:rPr>
          <w:rFonts w:ascii="Source Sans Pro" w:hAnsi="Source Sans Pro"/>
          <w:i w:val="0"/>
          <w:iCs w:val="0"/>
          <w:webHidden/>
          <w:sz w:val="24"/>
          <w:szCs w:val="24"/>
        </w:rPr>
      </w:pPr>
      <w:r w:rsidRPr="00352108">
        <w:rPr>
          <w:rFonts w:ascii="Source Sans Pro" w:hAnsi="Source Sans Pro"/>
          <w:b/>
          <w:bCs/>
          <w:i w:val="0"/>
          <w:iCs w:val="0"/>
          <w:webHidden/>
          <w:sz w:val="24"/>
          <w:szCs w:val="24"/>
        </w:rPr>
        <w:t>Practical Application:</w:t>
      </w:r>
      <w:r>
        <w:rPr>
          <w:rFonts w:ascii="Source Sans Pro" w:hAnsi="Source Sans Pro"/>
          <w:i w:val="0"/>
          <w:iCs w:val="0"/>
          <w:webHidden/>
          <w:sz w:val="24"/>
          <w:szCs w:val="24"/>
        </w:rPr>
        <w:t xml:space="preserve"> </w:t>
      </w:r>
      <w:r w:rsidR="00513A26">
        <w:rPr>
          <w:rFonts w:ascii="Source Sans Pro" w:hAnsi="Source Sans Pro"/>
          <w:i w:val="0"/>
          <w:iCs w:val="0"/>
          <w:webHidden/>
          <w:sz w:val="24"/>
          <w:szCs w:val="24"/>
        </w:rPr>
        <w:t xml:space="preserve">Fiscal managers can use this tool to estimate the average cost per participant when developing alternative scenarios and identifying the number of new participants the local area needs to serve </w:t>
      </w:r>
      <w:proofErr w:type="gramStart"/>
      <w:r w:rsidR="00513A26">
        <w:rPr>
          <w:rFonts w:ascii="Source Sans Pro" w:hAnsi="Source Sans Pro"/>
          <w:i w:val="0"/>
          <w:iCs w:val="0"/>
          <w:webHidden/>
          <w:sz w:val="24"/>
          <w:szCs w:val="24"/>
        </w:rPr>
        <w:t>in order to</w:t>
      </w:r>
      <w:proofErr w:type="gramEnd"/>
      <w:r w:rsidR="00513A26">
        <w:rPr>
          <w:rFonts w:ascii="Source Sans Pro" w:hAnsi="Source Sans Pro"/>
          <w:i w:val="0"/>
          <w:iCs w:val="0"/>
          <w:webHidden/>
          <w:sz w:val="24"/>
          <w:szCs w:val="24"/>
        </w:rPr>
        <w:t xml:space="preserve"> meet certain benchmarks. </w:t>
      </w:r>
      <w:r w:rsidR="007007A0">
        <w:rPr>
          <w:rFonts w:ascii="Source Sans Pro" w:hAnsi="Source Sans Pro"/>
          <w:i w:val="0"/>
          <w:iCs w:val="0"/>
          <w:webHidden/>
          <w:sz w:val="24"/>
          <w:szCs w:val="24"/>
        </w:rPr>
        <w:t xml:space="preserve">The tool can be used to estimate the average cost across all funding streams or for an individual funding stream. </w:t>
      </w:r>
      <w:r w:rsidR="00A205F5">
        <w:rPr>
          <w:rFonts w:ascii="Source Sans Pro" w:hAnsi="Source Sans Pro"/>
          <w:i w:val="0"/>
          <w:iCs w:val="0"/>
          <w:webHidden/>
          <w:sz w:val="24"/>
          <w:szCs w:val="24"/>
        </w:rPr>
        <w:t xml:space="preserve">The tool does not yet </w:t>
      </w:r>
      <w:r w:rsidR="001E1F64">
        <w:rPr>
          <w:rFonts w:ascii="Source Sans Pro" w:hAnsi="Source Sans Pro"/>
          <w:i w:val="0"/>
          <w:iCs w:val="0"/>
          <w:webHidden/>
          <w:sz w:val="24"/>
          <w:szCs w:val="24"/>
        </w:rPr>
        <w:t xml:space="preserve">isolate the number still needed to serve when the local area has </w:t>
      </w:r>
      <w:r w:rsidR="00A205F5">
        <w:rPr>
          <w:rFonts w:ascii="Source Sans Pro" w:hAnsi="Source Sans Pro"/>
          <w:i w:val="0"/>
          <w:iCs w:val="0"/>
          <w:webHidden/>
          <w:sz w:val="24"/>
          <w:szCs w:val="24"/>
        </w:rPr>
        <w:t xml:space="preserve">carry-in participants. </w:t>
      </w:r>
      <w:r w:rsidR="00F03D82">
        <w:rPr>
          <w:rFonts w:ascii="Source Sans Pro" w:hAnsi="Source Sans Pro"/>
          <w:i w:val="0"/>
          <w:iCs w:val="0"/>
          <w:webHidden/>
          <w:sz w:val="24"/>
          <w:szCs w:val="24"/>
        </w:rPr>
        <w:t xml:space="preserve">That factor is under consideration. </w:t>
      </w:r>
    </w:p>
    <w:p w14:paraId="356E7C9C" w14:textId="77777777" w:rsidR="00B4029B" w:rsidRPr="00A0264E" w:rsidRDefault="00B4029B" w:rsidP="003D15F0">
      <w:pPr>
        <w:pStyle w:val="Level3"/>
        <w:rPr>
          <w:rFonts w:ascii="Source Sans Pro" w:hAnsi="Source Sans Pro"/>
          <w:i w:val="0"/>
          <w:iCs w:val="0"/>
          <w:webHidden/>
          <w:sz w:val="24"/>
          <w:szCs w:val="24"/>
        </w:rPr>
      </w:pPr>
    </w:p>
    <w:p w14:paraId="0EB4F6B6" w14:textId="27C7F4DA" w:rsidR="00DC5C4E" w:rsidRPr="00A0264E" w:rsidRDefault="00AE1F0B" w:rsidP="003D15F0">
      <w:pPr>
        <w:pStyle w:val="Level3"/>
        <w:ind w:left="0"/>
        <w:rPr>
          <w:rFonts w:ascii="Source Sans Pro" w:hAnsi="Source Sans Pro"/>
          <w:sz w:val="24"/>
          <w:szCs w:val="24"/>
        </w:rPr>
      </w:pPr>
      <w:r w:rsidRPr="007B1712">
        <w:rPr>
          <w:rFonts w:ascii="Source Sans Pro" w:hAnsi="Source Sans Pro"/>
          <w:b/>
          <w:bCs/>
          <w:i w:val="0"/>
          <w:iCs w:val="0"/>
          <w:webHidden/>
          <w:color w:val="0070C0"/>
          <w:sz w:val="24"/>
          <w:szCs w:val="24"/>
        </w:rPr>
        <w:t xml:space="preserve">DCEO Benchmark </w:t>
      </w:r>
      <w:r w:rsidR="00A66D14" w:rsidRPr="007B1712">
        <w:rPr>
          <w:rFonts w:ascii="Source Sans Pro" w:hAnsi="Source Sans Pro"/>
          <w:b/>
          <w:bCs/>
          <w:i w:val="0"/>
          <w:iCs w:val="0"/>
          <w:webHidden/>
          <w:color w:val="0070C0"/>
          <w:sz w:val="24"/>
          <w:szCs w:val="24"/>
        </w:rPr>
        <w:t xml:space="preserve">Cheat </w:t>
      </w:r>
      <w:r w:rsidRPr="007B1712">
        <w:rPr>
          <w:rFonts w:ascii="Source Sans Pro" w:hAnsi="Source Sans Pro"/>
          <w:b/>
          <w:bCs/>
          <w:i w:val="0"/>
          <w:iCs w:val="0"/>
          <w:webHidden/>
          <w:color w:val="0070C0"/>
          <w:sz w:val="24"/>
          <w:szCs w:val="24"/>
        </w:rPr>
        <w:t>Sheet</w:t>
      </w:r>
    </w:p>
    <w:p w14:paraId="41899908" w14:textId="6176892C" w:rsidR="00AE1F0B" w:rsidRPr="00A0264E" w:rsidRDefault="00AE1F0B" w:rsidP="003D15F0">
      <w:pPr>
        <w:pStyle w:val="Level3"/>
        <w:rPr>
          <w:rFonts w:ascii="Source Sans Pro" w:hAnsi="Source Sans Pro"/>
          <w:webHidden/>
          <w:sz w:val="24"/>
          <w:szCs w:val="24"/>
        </w:rPr>
      </w:pPr>
    </w:p>
    <w:p w14:paraId="6D434B9F" w14:textId="3118BD10" w:rsidR="00AB7669" w:rsidRDefault="00266F00" w:rsidP="003D15F0">
      <w:pPr>
        <w:pStyle w:val="Level3"/>
        <w:rPr>
          <w:rFonts w:ascii="Source Sans Pro" w:hAnsi="Source Sans Pro"/>
          <w:i w:val="0"/>
          <w:iCs w:val="0"/>
          <w:webHidden/>
          <w:sz w:val="24"/>
          <w:szCs w:val="24"/>
        </w:rPr>
      </w:pPr>
      <w:r w:rsidRPr="00266F00">
        <w:rPr>
          <w:rFonts w:ascii="Source Sans Pro" w:hAnsi="Source Sans Pro"/>
          <w:b/>
          <w:bCs/>
          <w:i w:val="0"/>
          <w:iCs w:val="0"/>
          <w:webHidden/>
          <w:sz w:val="24"/>
          <w:szCs w:val="24"/>
        </w:rPr>
        <w:t xml:space="preserve">Purpose: </w:t>
      </w:r>
      <w:r w:rsidR="00B4029B" w:rsidRPr="00A0264E">
        <w:rPr>
          <w:rFonts w:ascii="Source Sans Pro" w:hAnsi="Source Sans Pro"/>
          <w:i w:val="0"/>
          <w:iCs w:val="0"/>
          <w:webHidden/>
          <w:sz w:val="24"/>
          <w:szCs w:val="24"/>
        </w:rPr>
        <w:t xml:space="preserve">The DCEO Benchmark Cheat Sheet </w:t>
      </w:r>
      <w:r w:rsidR="00A66D14" w:rsidRPr="00A0264E">
        <w:rPr>
          <w:rFonts w:ascii="Source Sans Pro" w:hAnsi="Source Sans Pro"/>
          <w:i w:val="0"/>
          <w:iCs w:val="0"/>
          <w:webHidden/>
          <w:sz w:val="24"/>
          <w:szCs w:val="24"/>
        </w:rPr>
        <w:t>provides</w:t>
      </w:r>
      <w:r w:rsidR="00B4029B" w:rsidRPr="00A0264E">
        <w:rPr>
          <w:rFonts w:ascii="Source Sans Pro" w:hAnsi="Source Sans Pro"/>
          <w:i w:val="0"/>
          <w:iCs w:val="0"/>
          <w:webHidden/>
          <w:sz w:val="24"/>
          <w:szCs w:val="24"/>
        </w:rPr>
        <w:t xml:space="preserve"> definitions and </w:t>
      </w:r>
      <w:r w:rsidR="00BF5A21">
        <w:rPr>
          <w:rFonts w:ascii="Source Sans Pro" w:hAnsi="Source Sans Pro"/>
          <w:i w:val="0"/>
          <w:iCs w:val="0"/>
          <w:webHidden/>
          <w:sz w:val="24"/>
          <w:szCs w:val="24"/>
        </w:rPr>
        <w:t xml:space="preserve">formulae of </w:t>
      </w:r>
      <w:r w:rsidR="00B4029B" w:rsidRPr="00A0264E">
        <w:rPr>
          <w:rFonts w:ascii="Source Sans Pro" w:hAnsi="Source Sans Pro"/>
          <w:i w:val="0"/>
          <w:iCs w:val="0"/>
          <w:webHidden/>
          <w:sz w:val="24"/>
          <w:szCs w:val="24"/>
        </w:rPr>
        <w:t xml:space="preserve">DCEO benchmarks to </w:t>
      </w:r>
      <w:r w:rsidR="00BF5A21">
        <w:rPr>
          <w:rFonts w:ascii="Source Sans Pro" w:hAnsi="Source Sans Pro"/>
          <w:i w:val="0"/>
          <w:iCs w:val="0"/>
          <w:webHidden/>
          <w:sz w:val="24"/>
          <w:szCs w:val="24"/>
        </w:rPr>
        <w:t xml:space="preserve">help assess </w:t>
      </w:r>
      <w:r w:rsidR="00B4029B" w:rsidRPr="00A0264E">
        <w:rPr>
          <w:rFonts w:ascii="Source Sans Pro" w:hAnsi="Source Sans Pro"/>
          <w:i w:val="0"/>
          <w:iCs w:val="0"/>
          <w:webHidden/>
          <w:sz w:val="24"/>
          <w:szCs w:val="24"/>
        </w:rPr>
        <w:t xml:space="preserve">progress towards benchmarks </w:t>
      </w:r>
      <w:r w:rsidR="00BF5A21">
        <w:rPr>
          <w:rFonts w:ascii="Source Sans Pro" w:hAnsi="Source Sans Pro"/>
          <w:i w:val="0"/>
          <w:iCs w:val="0"/>
          <w:webHidden/>
          <w:sz w:val="24"/>
          <w:szCs w:val="24"/>
        </w:rPr>
        <w:t xml:space="preserve">throughout the </w:t>
      </w:r>
      <w:r w:rsidR="00B4029B" w:rsidRPr="00A0264E">
        <w:rPr>
          <w:rFonts w:ascii="Source Sans Pro" w:hAnsi="Source Sans Pro"/>
          <w:i w:val="0"/>
          <w:iCs w:val="0"/>
          <w:webHidden/>
          <w:sz w:val="24"/>
          <w:szCs w:val="24"/>
        </w:rPr>
        <w:t>program year</w:t>
      </w:r>
      <w:r w:rsidR="00AB7669">
        <w:rPr>
          <w:rFonts w:ascii="Source Sans Pro" w:hAnsi="Source Sans Pro"/>
          <w:i w:val="0"/>
          <w:iCs w:val="0"/>
          <w:webHidden/>
          <w:sz w:val="24"/>
          <w:szCs w:val="24"/>
        </w:rPr>
        <w:t xml:space="preserve"> in real time</w:t>
      </w:r>
      <w:r w:rsidR="00B4029B" w:rsidRPr="00A0264E">
        <w:rPr>
          <w:rFonts w:ascii="Source Sans Pro" w:hAnsi="Source Sans Pro"/>
          <w:i w:val="0"/>
          <w:iCs w:val="0"/>
          <w:webHidden/>
          <w:sz w:val="24"/>
          <w:szCs w:val="24"/>
        </w:rPr>
        <w:t xml:space="preserve">. </w:t>
      </w:r>
      <w:r w:rsidR="003F3F29">
        <w:rPr>
          <w:rFonts w:ascii="Source Sans Pro" w:hAnsi="Source Sans Pro"/>
          <w:i w:val="0"/>
          <w:iCs w:val="0"/>
          <w:webHidden/>
          <w:sz w:val="24"/>
          <w:szCs w:val="24"/>
        </w:rPr>
        <w:t xml:space="preserve">The </w:t>
      </w:r>
      <w:r w:rsidR="00B4029B" w:rsidRPr="00A0264E">
        <w:rPr>
          <w:rFonts w:ascii="Source Sans Pro" w:hAnsi="Source Sans Pro"/>
          <w:i w:val="0"/>
          <w:iCs w:val="0"/>
          <w:webHidden/>
          <w:sz w:val="24"/>
          <w:szCs w:val="24"/>
        </w:rPr>
        <w:t xml:space="preserve">workbook </w:t>
      </w:r>
      <w:r w:rsidR="003F3F29">
        <w:rPr>
          <w:rFonts w:ascii="Source Sans Pro" w:hAnsi="Source Sans Pro"/>
          <w:i w:val="0"/>
          <w:iCs w:val="0"/>
          <w:webHidden/>
          <w:sz w:val="24"/>
          <w:szCs w:val="24"/>
        </w:rPr>
        <w:t xml:space="preserve">breaks down the calculations used by DCEO to generate the monthly </w:t>
      </w:r>
      <w:r w:rsidR="00B4029B" w:rsidRPr="00A0264E">
        <w:rPr>
          <w:rFonts w:ascii="Source Sans Pro" w:hAnsi="Source Sans Pro"/>
          <w:i w:val="0"/>
          <w:iCs w:val="0"/>
          <w:webHidden/>
          <w:sz w:val="24"/>
          <w:szCs w:val="24"/>
        </w:rPr>
        <w:t>Fund Utilization Report (FUR</w:t>
      </w:r>
      <w:r w:rsidR="000B74F5">
        <w:rPr>
          <w:rFonts w:ascii="Source Sans Pro" w:hAnsi="Source Sans Pro"/>
          <w:i w:val="0"/>
          <w:iCs w:val="0"/>
          <w:webHidden/>
          <w:sz w:val="24"/>
          <w:szCs w:val="24"/>
        </w:rPr>
        <w:t xml:space="preserve">), which can be used to compare the local area’s calculations of Total Funds Available. </w:t>
      </w:r>
    </w:p>
    <w:p w14:paraId="1D19E954" w14:textId="0618FF2E" w:rsidR="00874CE9" w:rsidRDefault="00874CE9" w:rsidP="003D15F0">
      <w:pPr>
        <w:pStyle w:val="Level3"/>
        <w:rPr>
          <w:rFonts w:ascii="Source Sans Pro" w:hAnsi="Source Sans Pro"/>
          <w:i w:val="0"/>
          <w:iCs w:val="0"/>
          <w:webHidden/>
          <w:sz w:val="24"/>
          <w:szCs w:val="24"/>
        </w:rPr>
      </w:pPr>
    </w:p>
    <w:p w14:paraId="08023C04" w14:textId="1FDF14C4" w:rsidR="00874CE9" w:rsidRDefault="00874CE9" w:rsidP="003D15F0">
      <w:pPr>
        <w:pStyle w:val="Level3"/>
        <w:rPr>
          <w:rFonts w:ascii="Source Sans Pro" w:hAnsi="Source Sans Pro"/>
          <w:i w:val="0"/>
          <w:iCs w:val="0"/>
          <w:webHidden/>
          <w:sz w:val="24"/>
          <w:szCs w:val="24"/>
        </w:rPr>
      </w:pPr>
      <w:r w:rsidRPr="003744C6">
        <w:rPr>
          <w:rFonts w:ascii="Source Sans Pro" w:hAnsi="Source Sans Pro"/>
          <w:b/>
          <w:bCs/>
          <w:i w:val="0"/>
          <w:iCs w:val="0"/>
          <w:webHidden/>
          <w:sz w:val="24"/>
          <w:szCs w:val="24"/>
        </w:rPr>
        <w:t>Practical Application:</w:t>
      </w:r>
      <w:r>
        <w:rPr>
          <w:rFonts w:ascii="Source Sans Pro" w:hAnsi="Source Sans Pro"/>
          <w:i w:val="0"/>
          <w:iCs w:val="0"/>
          <w:webHidden/>
          <w:sz w:val="24"/>
          <w:szCs w:val="24"/>
        </w:rPr>
        <w:t xml:space="preserve"> </w:t>
      </w:r>
      <w:r w:rsidR="009C6D6B">
        <w:rPr>
          <w:rFonts w:ascii="Source Sans Pro" w:hAnsi="Source Sans Pro"/>
          <w:i w:val="0"/>
          <w:iCs w:val="0"/>
          <w:webHidden/>
          <w:sz w:val="24"/>
          <w:szCs w:val="24"/>
        </w:rPr>
        <w:t xml:space="preserve">The DCEO Benchmark Cheat Sheet provides to different ways to check the status of meeting five benchmarks. One way is to estimate progress if all expenses were evenly incurred during each month. A second way is to customize the timing of expenses (e.g., tuition payments) that might affect the calculation at each quarter of the program year. That helps identify whether a low obligation or expenditure rate is more of a timing issue than a true lack of obligations or expenses. </w:t>
      </w:r>
    </w:p>
    <w:p w14:paraId="7A876FC6" w14:textId="77777777" w:rsidR="00DC5CD2" w:rsidRPr="00A0264E" w:rsidRDefault="00DC5CD2" w:rsidP="003D15F0">
      <w:pPr>
        <w:pStyle w:val="Level3"/>
        <w:rPr>
          <w:rFonts w:ascii="Source Sans Pro" w:hAnsi="Source Sans Pro"/>
          <w:i w:val="0"/>
          <w:iCs w:val="0"/>
          <w:webHidden/>
          <w:sz w:val="24"/>
          <w:szCs w:val="24"/>
        </w:rPr>
      </w:pPr>
    </w:p>
    <w:p w14:paraId="4F6960CF" w14:textId="13D29B9C" w:rsidR="00816850" w:rsidRPr="00FF102E" w:rsidRDefault="00AE1F0B" w:rsidP="003D15F0">
      <w:pPr>
        <w:pStyle w:val="Level3"/>
        <w:ind w:left="0"/>
        <w:rPr>
          <w:rFonts w:ascii="Source Sans Pro" w:hAnsi="Source Sans Pro"/>
          <w:webHidden/>
          <w:color w:val="0070C0"/>
          <w:sz w:val="24"/>
          <w:szCs w:val="24"/>
        </w:rPr>
      </w:pPr>
      <w:r w:rsidRPr="00FF102E">
        <w:rPr>
          <w:rFonts w:ascii="Source Sans Pro" w:hAnsi="Source Sans Pro"/>
          <w:b/>
          <w:bCs/>
          <w:i w:val="0"/>
          <w:iCs w:val="0"/>
          <w:webHidden/>
          <w:color w:val="0070C0"/>
          <w:sz w:val="24"/>
          <w:szCs w:val="24"/>
        </w:rPr>
        <w:t xml:space="preserve">Dashboard for </w:t>
      </w:r>
      <w:r w:rsidR="00124225">
        <w:rPr>
          <w:rFonts w:ascii="Source Sans Pro" w:hAnsi="Source Sans Pro"/>
          <w:b/>
          <w:bCs/>
          <w:i w:val="0"/>
          <w:iCs w:val="0"/>
          <w:webHidden/>
          <w:color w:val="0070C0"/>
          <w:sz w:val="24"/>
          <w:szCs w:val="24"/>
        </w:rPr>
        <w:t xml:space="preserve">the Local </w:t>
      </w:r>
      <w:r w:rsidRPr="00FF102E">
        <w:rPr>
          <w:rFonts w:ascii="Source Sans Pro" w:hAnsi="Source Sans Pro"/>
          <w:b/>
          <w:bCs/>
          <w:i w:val="0"/>
          <w:iCs w:val="0"/>
          <w:webHidden/>
          <w:color w:val="0070C0"/>
          <w:sz w:val="24"/>
          <w:szCs w:val="24"/>
        </w:rPr>
        <w:t xml:space="preserve">Workforce </w:t>
      </w:r>
      <w:r w:rsidR="006C5652">
        <w:rPr>
          <w:rFonts w:ascii="Source Sans Pro" w:hAnsi="Source Sans Pro"/>
          <w:b/>
          <w:bCs/>
          <w:i w:val="0"/>
          <w:iCs w:val="0"/>
          <w:webHidden/>
          <w:color w:val="0070C0"/>
          <w:sz w:val="24"/>
          <w:szCs w:val="24"/>
        </w:rPr>
        <w:t xml:space="preserve">Board </w:t>
      </w:r>
    </w:p>
    <w:p w14:paraId="45C45467" w14:textId="12673DC6" w:rsidR="00A66D14" w:rsidRPr="00A0264E" w:rsidRDefault="00A66D14" w:rsidP="003D15F0">
      <w:pPr>
        <w:pStyle w:val="Level3"/>
        <w:ind w:left="360"/>
        <w:rPr>
          <w:rFonts w:ascii="Source Sans Pro" w:hAnsi="Source Sans Pro"/>
          <w:i w:val="0"/>
          <w:iCs w:val="0"/>
          <w:webHidden/>
          <w:sz w:val="24"/>
          <w:szCs w:val="24"/>
        </w:rPr>
      </w:pPr>
    </w:p>
    <w:p w14:paraId="1DB99465" w14:textId="69DFFE2E" w:rsidR="00A66D14" w:rsidRDefault="00FF102E" w:rsidP="003D15F0">
      <w:pPr>
        <w:pStyle w:val="Level3"/>
        <w:ind w:left="360"/>
        <w:rPr>
          <w:rFonts w:ascii="Source Sans Pro" w:hAnsi="Source Sans Pro"/>
          <w:i w:val="0"/>
          <w:iCs w:val="0"/>
          <w:webHidden/>
          <w:sz w:val="24"/>
          <w:szCs w:val="24"/>
        </w:rPr>
      </w:pPr>
      <w:r w:rsidRPr="00FF102E">
        <w:rPr>
          <w:rFonts w:ascii="Source Sans Pro" w:hAnsi="Source Sans Pro"/>
          <w:b/>
          <w:bCs/>
          <w:i w:val="0"/>
          <w:iCs w:val="0"/>
          <w:webHidden/>
          <w:sz w:val="24"/>
          <w:szCs w:val="24"/>
        </w:rPr>
        <w:t xml:space="preserve">Purpose: </w:t>
      </w:r>
      <w:r w:rsidR="00A66D14" w:rsidRPr="00A0264E">
        <w:rPr>
          <w:rFonts w:ascii="Source Sans Pro" w:hAnsi="Source Sans Pro"/>
          <w:i w:val="0"/>
          <w:iCs w:val="0"/>
          <w:webHidden/>
          <w:sz w:val="24"/>
          <w:szCs w:val="24"/>
        </w:rPr>
        <w:t xml:space="preserve">The Dashboard for </w:t>
      </w:r>
      <w:r w:rsidR="00124225">
        <w:rPr>
          <w:rFonts w:ascii="Source Sans Pro" w:hAnsi="Source Sans Pro"/>
          <w:i w:val="0"/>
          <w:iCs w:val="0"/>
          <w:webHidden/>
          <w:sz w:val="24"/>
          <w:szCs w:val="24"/>
        </w:rPr>
        <w:t xml:space="preserve">the Local </w:t>
      </w:r>
      <w:r w:rsidR="00A66D14" w:rsidRPr="00A0264E">
        <w:rPr>
          <w:rFonts w:ascii="Source Sans Pro" w:hAnsi="Source Sans Pro"/>
          <w:i w:val="0"/>
          <w:iCs w:val="0"/>
          <w:webHidden/>
          <w:sz w:val="24"/>
          <w:szCs w:val="24"/>
        </w:rPr>
        <w:t xml:space="preserve">Workforce Board </w:t>
      </w:r>
      <w:r w:rsidR="0072330C">
        <w:rPr>
          <w:rFonts w:ascii="Source Sans Pro" w:hAnsi="Source Sans Pro"/>
          <w:i w:val="0"/>
          <w:iCs w:val="0"/>
          <w:webHidden/>
          <w:sz w:val="24"/>
          <w:szCs w:val="24"/>
        </w:rPr>
        <w:t xml:space="preserve">serves as a template for a quarterly or periodic report to the workforce board regarding the program </w:t>
      </w:r>
      <w:r w:rsidR="00A66D14" w:rsidRPr="00A0264E">
        <w:rPr>
          <w:rFonts w:ascii="Source Sans Pro" w:hAnsi="Source Sans Pro"/>
          <w:i w:val="0"/>
          <w:iCs w:val="0"/>
          <w:webHidden/>
          <w:sz w:val="24"/>
          <w:szCs w:val="24"/>
        </w:rPr>
        <w:t>budget</w:t>
      </w:r>
      <w:r w:rsidR="0072330C">
        <w:rPr>
          <w:rFonts w:ascii="Source Sans Pro" w:hAnsi="Source Sans Pro"/>
          <w:i w:val="0"/>
          <w:iCs w:val="0"/>
          <w:webHidden/>
          <w:sz w:val="24"/>
          <w:szCs w:val="24"/>
        </w:rPr>
        <w:t xml:space="preserve"> and progress toward meeting DCEO benchmarks</w:t>
      </w:r>
      <w:r w:rsidR="00A66D14" w:rsidRPr="00A0264E">
        <w:rPr>
          <w:rFonts w:ascii="Source Sans Pro" w:hAnsi="Source Sans Pro"/>
          <w:i w:val="0"/>
          <w:iCs w:val="0"/>
          <w:webHidden/>
          <w:sz w:val="24"/>
          <w:szCs w:val="24"/>
        </w:rPr>
        <w:t xml:space="preserve">. </w:t>
      </w:r>
    </w:p>
    <w:p w14:paraId="5127152F" w14:textId="63648A2F" w:rsidR="00E44F10" w:rsidRDefault="00E44F10" w:rsidP="003D15F0">
      <w:pPr>
        <w:pStyle w:val="Level3"/>
        <w:ind w:left="360"/>
        <w:rPr>
          <w:rFonts w:ascii="Source Sans Pro" w:hAnsi="Source Sans Pro"/>
          <w:i w:val="0"/>
          <w:iCs w:val="0"/>
          <w:webHidden/>
          <w:sz w:val="24"/>
          <w:szCs w:val="24"/>
        </w:rPr>
      </w:pPr>
    </w:p>
    <w:p w14:paraId="1E3AF5EB" w14:textId="20EE6D20" w:rsidR="00DC5CD2" w:rsidRPr="00A0264E" w:rsidRDefault="00E44F10" w:rsidP="00927873">
      <w:pPr>
        <w:pStyle w:val="Level3"/>
        <w:ind w:left="360"/>
        <w:rPr>
          <w:rFonts w:ascii="Source Sans Pro" w:hAnsi="Source Sans Pro"/>
          <w:i w:val="0"/>
          <w:iCs w:val="0"/>
          <w:sz w:val="24"/>
          <w:szCs w:val="24"/>
        </w:rPr>
      </w:pPr>
      <w:r w:rsidRPr="00150C8C">
        <w:rPr>
          <w:rFonts w:ascii="Source Sans Pro" w:hAnsi="Source Sans Pro"/>
          <w:b/>
          <w:bCs/>
          <w:i w:val="0"/>
          <w:iCs w:val="0"/>
          <w:webHidden/>
          <w:sz w:val="24"/>
          <w:szCs w:val="24"/>
        </w:rPr>
        <w:lastRenderedPageBreak/>
        <w:t>Practical Application:</w:t>
      </w:r>
      <w:r>
        <w:rPr>
          <w:rFonts w:ascii="Source Sans Pro" w:hAnsi="Source Sans Pro"/>
          <w:i w:val="0"/>
          <w:iCs w:val="0"/>
          <w:webHidden/>
          <w:sz w:val="24"/>
          <w:szCs w:val="24"/>
        </w:rPr>
        <w:t xml:space="preserve"> </w:t>
      </w:r>
      <w:r w:rsidR="00F463AA">
        <w:rPr>
          <w:rFonts w:ascii="Source Sans Pro" w:hAnsi="Source Sans Pro"/>
          <w:i w:val="0"/>
          <w:iCs w:val="0"/>
          <w:webHidden/>
          <w:sz w:val="24"/>
          <w:szCs w:val="24"/>
        </w:rPr>
        <w:t xml:space="preserve">Fiscal managers can pull data from a work paper that shows total WIOA grant funds available. </w:t>
      </w:r>
      <w:r w:rsidR="00927873">
        <w:rPr>
          <w:rFonts w:ascii="Source Sans Pro" w:hAnsi="Source Sans Pro"/>
          <w:i w:val="0"/>
          <w:iCs w:val="0"/>
          <w:webHidden/>
          <w:sz w:val="24"/>
          <w:szCs w:val="24"/>
        </w:rPr>
        <w:t xml:space="preserve">Manual data entry of income and expenditures allows the graphs on the dashboard to auto-populate. Graphs and the data entry tab can be customized to align with each local workforce board’s priorities and overview of WIOA fiscal management.  </w:t>
      </w:r>
    </w:p>
    <w:sectPr w:rsidR="00DC5CD2" w:rsidRPr="00A0264E" w:rsidSect="00187371">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15418" w14:textId="77777777" w:rsidR="003D15F0" w:rsidRDefault="003D15F0" w:rsidP="003D15F0">
      <w:r>
        <w:separator/>
      </w:r>
    </w:p>
  </w:endnote>
  <w:endnote w:type="continuationSeparator" w:id="0">
    <w:p w14:paraId="3F9293CE" w14:textId="77777777" w:rsidR="003D15F0" w:rsidRDefault="003D15F0" w:rsidP="003D1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0036845"/>
      <w:docPartObj>
        <w:docPartGallery w:val="Page Numbers (Bottom of Page)"/>
        <w:docPartUnique/>
      </w:docPartObj>
    </w:sdtPr>
    <w:sdtEndPr>
      <w:rPr>
        <w:noProof/>
      </w:rPr>
    </w:sdtEndPr>
    <w:sdtContent>
      <w:p w14:paraId="7A59B81A" w14:textId="06E10305" w:rsidR="003D15F0" w:rsidRDefault="003D15F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62AFFD" w14:textId="77777777" w:rsidR="003D15F0" w:rsidRDefault="003D1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DD059" w14:textId="77777777" w:rsidR="003D15F0" w:rsidRDefault="003D15F0" w:rsidP="003D15F0">
      <w:r>
        <w:separator/>
      </w:r>
    </w:p>
  </w:footnote>
  <w:footnote w:type="continuationSeparator" w:id="0">
    <w:p w14:paraId="46695EAF" w14:textId="77777777" w:rsidR="003D15F0" w:rsidRDefault="003D15F0" w:rsidP="003D15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13A97"/>
    <w:multiLevelType w:val="hybridMultilevel"/>
    <w:tmpl w:val="6096EA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1B32182"/>
    <w:multiLevelType w:val="hybridMultilevel"/>
    <w:tmpl w:val="2ADA7C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2EC241B"/>
    <w:multiLevelType w:val="hybridMultilevel"/>
    <w:tmpl w:val="9AE4AD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15D"/>
    <w:rsid w:val="00002AFF"/>
    <w:rsid w:val="00004797"/>
    <w:rsid w:val="000070F3"/>
    <w:rsid w:val="0001424F"/>
    <w:rsid w:val="00020077"/>
    <w:rsid w:val="00020B54"/>
    <w:rsid w:val="0002515D"/>
    <w:rsid w:val="00025FF7"/>
    <w:rsid w:val="00027C98"/>
    <w:rsid w:val="00027E39"/>
    <w:rsid w:val="0003028F"/>
    <w:rsid w:val="000306B6"/>
    <w:rsid w:val="00030A22"/>
    <w:rsid w:val="00030C11"/>
    <w:rsid w:val="00032986"/>
    <w:rsid w:val="0003556F"/>
    <w:rsid w:val="000355F7"/>
    <w:rsid w:val="00040B2D"/>
    <w:rsid w:val="00044263"/>
    <w:rsid w:val="00044F9A"/>
    <w:rsid w:val="000502F1"/>
    <w:rsid w:val="00053CCC"/>
    <w:rsid w:val="00053CE1"/>
    <w:rsid w:val="00056919"/>
    <w:rsid w:val="00057510"/>
    <w:rsid w:val="000619E3"/>
    <w:rsid w:val="00061F3F"/>
    <w:rsid w:val="0006367C"/>
    <w:rsid w:val="00064088"/>
    <w:rsid w:val="00064D61"/>
    <w:rsid w:val="00067760"/>
    <w:rsid w:val="000716B1"/>
    <w:rsid w:val="00072084"/>
    <w:rsid w:val="00072954"/>
    <w:rsid w:val="00072F55"/>
    <w:rsid w:val="00073469"/>
    <w:rsid w:val="00073EEA"/>
    <w:rsid w:val="00076D30"/>
    <w:rsid w:val="00077043"/>
    <w:rsid w:val="000778A7"/>
    <w:rsid w:val="00083D05"/>
    <w:rsid w:val="000845CA"/>
    <w:rsid w:val="00086D04"/>
    <w:rsid w:val="000935D6"/>
    <w:rsid w:val="00093CED"/>
    <w:rsid w:val="00094A41"/>
    <w:rsid w:val="00094E4C"/>
    <w:rsid w:val="000978D3"/>
    <w:rsid w:val="000A05F1"/>
    <w:rsid w:val="000A0AD3"/>
    <w:rsid w:val="000A1CD3"/>
    <w:rsid w:val="000A209A"/>
    <w:rsid w:val="000A2F39"/>
    <w:rsid w:val="000A3587"/>
    <w:rsid w:val="000A44DB"/>
    <w:rsid w:val="000A49A6"/>
    <w:rsid w:val="000A5E77"/>
    <w:rsid w:val="000A661C"/>
    <w:rsid w:val="000A7382"/>
    <w:rsid w:val="000B12D9"/>
    <w:rsid w:val="000B215A"/>
    <w:rsid w:val="000B35C3"/>
    <w:rsid w:val="000B5506"/>
    <w:rsid w:val="000B5FBB"/>
    <w:rsid w:val="000B6E44"/>
    <w:rsid w:val="000B74F5"/>
    <w:rsid w:val="000B7834"/>
    <w:rsid w:val="000C2381"/>
    <w:rsid w:val="000C3407"/>
    <w:rsid w:val="000C34B1"/>
    <w:rsid w:val="000D102F"/>
    <w:rsid w:val="000D2923"/>
    <w:rsid w:val="000D4DFC"/>
    <w:rsid w:val="000D521D"/>
    <w:rsid w:val="000D57D2"/>
    <w:rsid w:val="000E0017"/>
    <w:rsid w:val="000E0472"/>
    <w:rsid w:val="000E2EB4"/>
    <w:rsid w:val="000E35F0"/>
    <w:rsid w:val="000E4D8E"/>
    <w:rsid w:val="000E4FAE"/>
    <w:rsid w:val="000E5FA2"/>
    <w:rsid w:val="000F0C20"/>
    <w:rsid w:val="000F3761"/>
    <w:rsid w:val="0010092A"/>
    <w:rsid w:val="0010282E"/>
    <w:rsid w:val="00102D34"/>
    <w:rsid w:val="001032F6"/>
    <w:rsid w:val="00103941"/>
    <w:rsid w:val="00104F8A"/>
    <w:rsid w:val="0010512F"/>
    <w:rsid w:val="0010570C"/>
    <w:rsid w:val="001072C9"/>
    <w:rsid w:val="00107CA6"/>
    <w:rsid w:val="00110047"/>
    <w:rsid w:val="001110E3"/>
    <w:rsid w:val="001114A2"/>
    <w:rsid w:val="0011169B"/>
    <w:rsid w:val="00111A8A"/>
    <w:rsid w:val="00112A4A"/>
    <w:rsid w:val="00112AED"/>
    <w:rsid w:val="0011666A"/>
    <w:rsid w:val="00122C3C"/>
    <w:rsid w:val="00122E39"/>
    <w:rsid w:val="0012344A"/>
    <w:rsid w:val="00124225"/>
    <w:rsid w:val="00124364"/>
    <w:rsid w:val="00125CFC"/>
    <w:rsid w:val="001260D4"/>
    <w:rsid w:val="0012620C"/>
    <w:rsid w:val="00132142"/>
    <w:rsid w:val="00133257"/>
    <w:rsid w:val="00133EEF"/>
    <w:rsid w:val="00134C25"/>
    <w:rsid w:val="0013543D"/>
    <w:rsid w:val="00136DF6"/>
    <w:rsid w:val="00137BC7"/>
    <w:rsid w:val="00141C30"/>
    <w:rsid w:val="00144468"/>
    <w:rsid w:val="001451CE"/>
    <w:rsid w:val="0014551F"/>
    <w:rsid w:val="00145DFC"/>
    <w:rsid w:val="00146596"/>
    <w:rsid w:val="00147FEF"/>
    <w:rsid w:val="0015048C"/>
    <w:rsid w:val="00150C8C"/>
    <w:rsid w:val="00154121"/>
    <w:rsid w:val="001549D6"/>
    <w:rsid w:val="00156B76"/>
    <w:rsid w:val="00157783"/>
    <w:rsid w:val="0016137C"/>
    <w:rsid w:val="00161A63"/>
    <w:rsid w:val="00166129"/>
    <w:rsid w:val="00172D5F"/>
    <w:rsid w:val="00180C8D"/>
    <w:rsid w:val="001818A7"/>
    <w:rsid w:val="00182A89"/>
    <w:rsid w:val="00182E05"/>
    <w:rsid w:val="001865ED"/>
    <w:rsid w:val="001865F4"/>
    <w:rsid w:val="0018686F"/>
    <w:rsid w:val="00187371"/>
    <w:rsid w:val="00187A75"/>
    <w:rsid w:val="0019217C"/>
    <w:rsid w:val="00192944"/>
    <w:rsid w:val="001934FB"/>
    <w:rsid w:val="0019516E"/>
    <w:rsid w:val="00195ACE"/>
    <w:rsid w:val="0019645B"/>
    <w:rsid w:val="001A0497"/>
    <w:rsid w:val="001A1100"/>
    <w:rsid w:val="001A1686"/>
    <w:rsid w:val="001A1BA6"/>
    <w:rsid w:val="001A2DE6"/>
    <w:rsid w:val="001A3A02"/>
    <w:rsid w:val="001A3C05"/>
    <w:rsid w:val="001A4C9D"/>
    <w:rsid w:val="001A72E4"/>
    <w:rsid w:val="001B0B55"/>
    <w:rsid w:val="001B0CD0"/>
    <w:rsid w:val="001B13CC"/>
    <w:rsid w:val="001B20D6"/>
    <w:rsid w:val="001B3625"/>
    <w:rsid w:val="001B4A66"/>
    <w:rsid w:val="001B4A95"/>
    <w:rsid w:val="001B7A0C"/>
    <w:rsid w:val="001B7F87"/>
    <w:rsid w:val="001C12AD"/>
    <w:rsid w:val="001C301A"/>
    <w:rsid w:val="001C322C"/>
    <w:rsid w:val="001C7A72"/>
    <w:rsid w:val="001D0164"/>
    <w:rsid w:val="001D13F2"/>
    <w:rsid w:val="001D20FA"/>
    <w:rsid w:val="001D21D7"/>
    <w:rsid w:val="001D234C"/>
    <w:rsid w:val="001D572C"/>
    <w:rsid w:val="001D5D44"/>
    <w:rsid w:val="001D6818"/>
    <w:rsid w:val="001E133A"/>
    <w:rsid w:val="001E1F64"/>
    <w:rsid w:val="001E3E28"/>
    <w:rsid w:val="001E519B"/>
    <w:rsid w:val="001E5D5B"/>
    <w:rsid w:val="001E6809"/>
    <w:rsid w:val="001E7F69"/>
    <w:rsid w:val="001F7717"/>
    <w:rsid w:val="002037EA"/>
    <w:rsid w:val="00207545"/>
    <w:rsid w:val="00211742"/>
    <w:rsid w:val="00211B87"/>
    <w:rsid w:val="00211E2E"/>
    <w:rsid w:val="00212E32"/>
    <w:rsid w:val="002135AB"/>
    <w:rsid w:val="00213AD5"/>
    <w:rsid w:val="00215E45"/>
    <w:rsid w:val="00216C42"/>
    <w:rsid w:val="00216CDC"/>
    <w:rsid w:val="002207FD"/>
    <w:rsid w:val="00220839"/>
    <w:rsid w:val="00222BCB"/>
    <w:rsid w:val="00222C52"/>
    <w:rsid w:val="002235F6"/>
    <w:rsid w:val="00223F24"/>
    <w:rsid w:val="002242E3"/>
    <w:rsid w:val="00225F46"/>
    <w:rsid w:val="00230516"/>
    <w:rsid w:val="00231377"/>
    <w:rsid w:val="00235AB9"/>
    <w:rsid w:val="00236434"/>
    <w:rsid w:val="00237A65"/>
    <w:rsid w:val="00240011"/>
    <w:rsid w:val="00240EED"/>
    <w:rsid w:val="00242630"/>
    <w:rsid w:val="00245394"/>
    <w:rsid w:val="002501D4"/>
    <w:rsid w:val="00250A08"/>
    <w:rsid w:val="002513A4"/>
    <w:rsid w:val="00252BBE"/>
    <w:rsid w:val="00252F34"/>
    <w:rsid w:val="00254654"/>
    <w:rsid w:val="00255F1E"/>
    <w:rsid w:val="00257E2D"/>
    <w:rsid w:val="00263858"/>
    <w:rsid w:val="00264C07"/>
    <w:rsid w:val="00265607"/>
    <w:rsid w:val="00266146"/>
    <w:rsid w:val="00266201"/>
    <w:rsid w:val="00266A32"/>
    <w:rsid w:val="00266F00"/>
    <w:rsid w:val="00267E7F"/>
    <w:rsid w:val="00270608"/>
    <w:rsid w:val="0027171C"/>
    <w:rsid w:val="0027230A"/>
    <w:rsid w:val="0027535C"/>
    <w:rsid w:val="0027668E"/>
    <w:rsid w:val="0027766E"/>
    <w:rsid w:val="00277CDA"/>
    <w:rsid w:val="00280B24"/>
    <w:rsid w:val="00285C7B"/>
    <w:rsid w:val="002870FE"/>
    <w:rsid w:val="00291427"/>
    <w:rsid w:val="00292E21"/>
    <w:rsid w:val="00292F53"/>
    <w:rsid w:val="002944B2"/>
    <w:rsid w:val="002966A5"/>
    <w:rsid w:val="002A1F4E"/>
    <w:rsid w:val="002A2C04"/>
    <w:rsid w:val="002A31AB"/>
    <w:rsid w:val="002A49BD"/>
    <w:rsid w:val="002A772E"/>
    <w:rsid w:val="002B02AA"/>
    <w:rsid w:val="002B13E7"/>
    <w:rsid w:val="002B1DBC"/>
    <w:rsid w:val="002C11E3"/>
    <w:rsid w:val="002C2D34"/>
    <w:rsid w:val="002C2DEE"/>
    <w:rsid w:val="002C32CC"/>
    <w:rsid w:val="002C4683"/>
    <w:rsid w:val="002C472C"/>
    <w:rsid w:val="002C5CE8"/>
    <w:rsid w:val="002C73AF"/>
    <w:rsid w:val="002D070E"/>
    <w:rsid w:val="002D12E1"/>
    <w:rsid w:val="002D208B"/>
    <w:rsid w:val="002E0D00"/>
    <w:rsid w:val="002E23B7"/>
    <w:rsid w:val="002E248F"/>
    <w:rsid w:val="002E6280"/>
    <w:rsid w:val="002E65D3"/>
    <w:rsid w:val="002F0CD8"/>
    <w:rsid w:val="002F291F"/>
    <w:rsid w:val="002F2A00"/>
    <w:rsid w:val="002F31A4"/>
    <w:rsid w:val="002F693E"/>
    <w:rsid w:val="002F6B88"/>
    <w:rsid w:val="00301312"/>
    <w:rsid w:val="00302E67"/>
    <w:rsid w:val="00305F28"/>
    <w:rsid w:val="00306A1E"/>
    <w:rsid w:val="00310136"/>
    <w:rsid w:val="003114A8"/>
    <w:rsid w:val="0031172E"/>
    <w:rsid w:val="003117E0"/>
    <w:rsid w:val="003134A2"/>
    <w:rsid w:val="00314196"/>
    <w:rsid w:val="003166EA"/>
    <w:rsid w:val="003167A7"/>
    <w:rsid w:val="00320072"/>
    <w:rsid w:val="003205E7"/>
    <w:rsid w:val="003207D1"/>
    <w:rsid w:val="00320BA7"/>
    <w:rsid w:val="003224DD"/>
    <w:rsid w:val="00324091"/>
    <w:rsid w:val="00324973"/>
    <w:rsid w:val="0032625C"/>
    <w:rsid w:val="00327313"/>
    <w:rsid w:val="00327A86"/>
    <w:rsid w:val="00330DDE"/>
    <w:rsid w:val="00332852"/>
    <w:rsid w:val="003338E7"/>
    <w:rsid w:val="00334DA2"/>
    <w:rsid w:val="00340495"/>
    <w:rsid w:val="00340F57"/>
    <w:rsid w:val="00342AAE"/>
    <w:rsid w:val="003446CA"/>
    <w:rsid w:val="00345B26"/>
    <w:rsid w:val="003471C2"/>
    <w:rsid w:val="00352108"/>
    <w:rsid w:val="00352D9B"/>
    <w:rsid w:val="00353D66"/>
    <w:rsid w:val="00355386"/>
    <w:rsid w:val="0035683D"/>
    <w:rsid w:val="00357386"/>
    <w:rsid w:val="0035778C"/>
    <w:rsid w:val="00357C24"/>
    <w:rsid w:val="00360A86"/>
    <w:rsid w:val="00362EB3"/>
    <w:rsid w:val="00365D82"/>
    <w:rsid w:val="00371472"/>
    <w:rsid w:val="003714B5"/>
    <w:rsid w:val="00372AA3"/>
    <w:rsid w:val="003744C6"/>
    <w:rsid w:val="00375831"/>
    <w:rsid w:val="00375AA3"/>
    <w:rsid w:val="00377A5A"/>
    <w:rsid w:val="003803BE"/>
    <w:rsid w:val="0038111B"/>
    <w:rsid w:val="003819C0"/>
    <w:rsid w:val="00383497"/>
    <w:rsid w:val="003852D3"/>
    <w:rsid w:val="00392424"/>
    <w:rsid w:val="00392B68"/>
    <w:rsid w:val="00394B58"/>
    <w:rsid w:val="00396660"/>
    <w:rsid w:val="00396891"/>
    <w:rsid w:val="00396965"/>
    <w:rsid w:val="00396E7F"/>
    <w:rsid w:val="003A1D48"/>
    <w:rsid w:val="003A2868"/>
    <w:rsid w:val="003A2FC9"/>
    <w:rsid w:val="003A6369"/>
    <w:rsid w:val="003A6E00"/>
    <w:rsid w:val="003A7E6D"/>
    <w:rsid w:val="003B117F"/>
    <w:rsid w:val="003B1233"/>
    <w:rsid w:val="003B141A"/>
    <w:rsid w:val="003B506C"/>
    <w:rsid w:val="003B5502"/>
    <w:rsid w:val="003B64C4"/>
    <w:rsid w:val="003B78F0"/>
    <w:rsid w:val="003B7A73"/>
    <w:rsid w:val="003C1889"/>
    <w:rsid w:val="003C19C0"/>
    <w:rsid w:val="003C2FEC"/>
    <w:rsid w:val="003C595A"/>
    <w:rsid w:val="003C6D87"/>
    <w:rsid w:val="003D068B"/>
    <w:rsid w:val="003D07B6"/>
    <w:rsid w:val="003D138C"/>
    <w:rsid w:val="003D15F0"/>
    <w:rsid w:val="003D414E"/>
    <w:rsid w:val="003D4705"/>
    <w:rsid w:val="003D52A3"/>
    <w:rsid w:val="003E0F27"/>
    <w:rsid w:val="003E1295"/>
    <w:rsid w:val="003E182B"/>
    <w:rsid w:val="003E52F4"/>
    <w:rsid w:val="003E5B9A"/>
    <w:rsid w:val="003E775C"/>
    <w:rsid w:val="003E7801"/>
    <w:rsid w:val="003F022F"/>
    <w:rsid w:val="003F1CE8"/>
    <w:rsid w:val="003F269D"/>
    <w:rsid w:val="003F2B30"/>
    <w:rsid w:val="003F3F29"/>
    <w:rsid w:val="003F5A56"/>
    <w:rsid w:val="003F62EB"/>
    <w:rsid w:val="00400D18"/>
    <w:rsid w:val="0040184B"/>
    <w:rsid w:val="004053B4"/>
    <w:rsid w:val="00405E65"/>
    <w:rsid w:val="00406BCA"/>
    <w:rsid w:val="00407896"/>
    <w:rsid w:val="00410F29"/>
    <w:rsid w:val="00413E08"/>
    <w:rsid w:val="00415B43"/>
    <w:rsid w:val="00415D07"/>
    <w:rsid w:val="004163B5"/>
    <w:rsid w:val="00424C98"/>
    <w:rsid w:val="0042566B"/>
    <w:rsid w:val="00425898"/>
    <w:rsid w:val="004262BB"/>
    <w:rsid w:val="00426C40"/>
    <w:rsid w:val="004308E7"/>
    <w:rsid w:val="00434A70"/>
    <w:rsid w:val="00436FAF"/>
    <w:rsid w:val="0043762D"/>
    <w:rsid w:val="00437747"/>
    <w:rsid w:val="00437976"/>
    <w:rsid w:val="004415EB"/>
    <w:rsid w:val="004416F9"/>
    <w:rsid w:val="00441AD5"/>
    <w:rsid w:val="004448DF"/>
    <w:rsid w:val="004453B0"/>
    <w:rsid w:val="0044732F"/>
    <w:rsid w:val="00451237"/>
    <w:rsid w:val="004520B8"/>
    <w:rsid w:val="004531F0"/>
    <w:rsid w:val="00455DC0"/>
    <w:rsid w:val="004562DC"/>
    <w:rsid w:val="004628C0"/>
    <w:rsid w:val="004662BA"/>
    <w:rsid w:val="00466781"/>
    <w:rsid w:val="004675C2"/>
    <w:rsid w:val="004706C8"/>
    <w:rsid w:val="00472E98"/>
    <w:rsid w:val="00473D2D"/>
    <w:rsid w:val="00475340"/>
    <w:rsid w:val="00476BD1"/>
    <w:rsid w:val="00476E6E"/>
    <w:rsid w:val="00477C25"/>
    <w:rsid w:val="00480C3D"/>
    <w:rsid w:val="004818AA"/>
    <w:rsid w:val="004824CB"/>
    <w:rsid w:val="00483935"/>
    <w:rsid w:val="00485605"/>
    <w:rsid w:val="004857BD"/>
    <w:rsid w:val="0049253C"/>
    <w:rsid w:val="004932D2"/>
    <w:rsid w:val="00494553"/>
    <w:rsid w:val="00494BF2"/>
    <w:rsid w:val="0049721E"/>
    <w:rsid w:val="00497321"/>
    <w:rsid w:val="004A1E63"/>
    <w:rsid w:val="004A1E67"/>
    <w:rsid w:val="004A311A"/>
    <w:rsid w:val="004A71D7"/>
    <w:rsid w:val="004B470E"/>
    <w:rsid w:val="004B60D8"/>
    <w:rsid w:val="004B6929"/>
    <w:rsid w:val="004B7647"/>
    <w:rsid w:val="004B77D0"/>
    <w:rsid w:val="004C2012"/>
    <w:rsid w:val="004C2BEF"/>
    <w:rsid w:val="004C5806"/>
    <w:rsid w:val="004C6F5C"/>
    <w:rsid w:val="004D08F2"/>
    <w:rsid w:val="004D16ED"/>
    <w:rsid w:val="004D1D57"/>
    <w:rsid w:val="004D29AC"/>
    <w:rsid w:val="004D2FD5"/>
    <w:rsid w:val="004D442F"/>
    <w:rsid w:val="004D7955"/>
    <w:rsid w:val="004E0B57"/>
    <w:rsid w:val="004E0F88"/>
    <w:rsid w:val="004E1EC8"/>
    <w:rsid w:val="004E3C5A"/>
    <w:rsid w:val="004E5136"/>
    <w:rsid w:val="004E5CAD"/>
    <w:rsid w:val="004E7E4A"/>
    <w:rsid w:val="004F0746"/>
    <w:rsid w:val="004F2447"/>
    <w:rsid w:val="004F44BE"/>
    <w:rsid w:val="004F5B4E"/>
    <w:rsid w:val="004F6B8B"/>
    <w:rsid w:val="005007C5"/>
    <w:rsid w:val="00503291"/>
    <w:rsid w:val="00503421"/>
    <w:rsid w:val="00503E0E"/>
    <w:rsid w:val="0050466C"/>
    <w:rsid w:val="005054ED"/>
    <w:rsid w:val="005115C7"/>
    <w:rsid w:val="00512E2D"/>
    <w:rsid w:val="00513A26"/>
    <w:rsid w:val="00517DBA"/>
    <w:rsid w:val="00521BAE"/>
    <w:rsid w:val="005220FA"/>
    <w:rsid w:val="00522D0A"/>
    <w:rsid w:val="005231B9"/>
    <w:rsid w:val="00523BBC"/>
    <w:rsid w:val="0052407B"/>
    <w:rsid w:val="005248B3"/>
    <w:rsid w:val="00524C0C"/>
    <w:rsid w:val="00531631"/>
    <w:rsid w:val="005317A3"/>
    <w:rsid w:val="005351F5"/>
    <w:rsid w:val="0053552B"/>
    <w:rsid w:val="00536359"/>
    <w:rsid w:val="005402C5"/>
    <w:rsid w:val="0054068F"/>
    <w:rsid w:val="00540B7C"/>
    <w:rsid w:val="00540D67"/>
    <w:rsid w:val="00540E42"/>
    <w:rsid w:val="00544C8A"/>
    <w:rsid w:val="0054547C"/>
    <w:rsid w:val="005464C2"/>
    <w:rsid w:val="0055102F"/>
    <w:rsid w:val="0055137E"/>
    <w:rsid w:val="00551F25"/>
    <w:rsid w:val="005531C3"/>
    <w:rsid w:val="005546E2"/>
    <w:rsid w:val="005557D5"/>
    <w:rsid w:val="00557EA2"/>
    <w:rsid w:val="00560E96"/>
    <w:rsid w:val="005642B5"/>
    <w:rsid w:val="00565C8D"/>
    <w:rsid w:val="00571871"/>
    <w:rsid w:val="00572EEA"/>
    <w:rsid w:val="005758B5"/>
    <w:rsid w:val="005765EE"/>
    <w:rsid w:val="0058077F"/>
    <w:rsid w:val="00584A57"/>
    <w:rsid w:val="00584EB6"/>
    <w:rsid w:val="00587119"/>
    <w:rsid w:val="00587B95"/>
    <w:rsid w:val="00590C7D"/>
    <w:rsid w:val="00591704"/>
    <w:rsid w:val="00591756"/>
    <w:rsid w:val="005928F8"/>
    <w:rsid w:val="00593203"/>
    <w:rsid w:val="005936E4"/>
    <w:rsid w:val="00595F38"/>
    <w:rsid w:val="005A0266"/>
    <w:rsid w:val="005A175A"/>
    <w:rsid w:val="005A1BAD"/>
    <w:rsid w:val="005A2027"/>
    <w:rsid w:val="005A69EB"/>
    <w:rsid w:val="005A7670"/>
    <w:rsid w:val="005B0E47"/>
    <w:rsid w:val="005B105C"/>
    <w:rsid w:val="005B4A22"/>
    <w:rsid w:val="005B69FE"/>
    <w:rsid w:val="005B7242"/>
    <w:rsid w:val="005B7A58"/>
    <w:rsid w:val="005C3204"/>
    <w:rsid w:val="005C44E4"/>
    <w:rsid w:val="005C59C9"/>
    <w:rsid w:val="005C74ED"/>
    <w:rsid w:val="005D32EE"/>
    <w:rsid w:val="005D3E5E"/>
    <w:rsid w:val="005D5588"/>
    <w:rsid w:val="005D5CF3"/>
    <w:rsid w:val="005E0526"/>
    <w:rsid w:val="005E7DDF"/>
    <w:rsid w:val="005F17BE"/>
    <w:rsid w:val="005F17DE"/>
    <w:rsid w:val="005F19A4"/>
    <w:rsid w:val="005F201F"/>
    <w:rsid w:val="005F21BA"/>
    <w:rsid w:val="005F2F3B"/>
    <w:rsid w:val="005F3752"/>
    <w:rsid w:val="005F3865"/>
    <w:rsid w:val="005F3F1D"/>
    <w:rsid w:val="005F4EDD"/>
    <w:rsid w:val="005F7207"/>
    <w:rsid w:val="005F7D71"/>
    <w:rsid w:val="00602972"/>
    <w:rsid w:val="00604D11"/>
    <w:rsid w:val="006055E6"/>
    <w:rsid w:val="00605BB5"/>
    <w:rsid w:val="00605F35"/>
    <w:rsid w:val="006065C8"/>
    <w:rsid w:val="00606D90"/>
    <w:rsid w:val="00607786"/>
    <w:rsid w:val="00614DC9"/>
    <w:rsid w:val="00614E9B"/>
    <w:rsid w:val="00614FD0"/>
    <w:rsid w:val="006151BD"/>
    <w:rsid w:val="0061714F"/>
    <w:rsid w:val="006178AF"/>
    <w:rsid w:val="00617951"/>
    <w:rsid w:val="00617955"/>
    <w:rsid w:val="00621761"/>
    <w:rsid w:val="00622846"/>
    <w:rsid w:val="00631D1D"/>
    <w:rsid w:val="00635009"/>
    <w:rsid w:val="00635319"/>
    <w:rsid w:val="006353BA"/>
    <w:rsid w:val="00635673"/>
    <w:rsid w:val="0064271A"/>
    <w:rsid w:val="006450B2"/>
    <w:rsid w:val="00651512"/>
    <w:rsid w:val="0065151B"/>
    <w:rsid w:val="006519CE"/>
    <w:rsid w:val="00652936"/>
    <w:rsid w:val="00653D37"/>
    <w:rsid w:val="00654471"/>
    <w:rsid w:val="0065450C"/>
    <w:rsid w:val="0065602F"/>
    <w:rsid w:val="00660AA7"/>
    <w:rsid w:val="00662626"/>
    <w:rsid w:val="00663099"/>
    <w:rsid w:val="00663DD6"/>
    <w:rsid w:val="0066486D"/>
    <w:rsid w:val="00665C27"/>
    <w:rsid w:val="006672C7"/>
    <w:rsid w:val="0067306D"/>
    <w:rsid w:val="00673617"/>
    <w:rsid w:val="0067768A"/>
    <w:rsid w:val="00682BCC"/>
    <w:rsid w:val="006868F1"/>
    <w:rsid w:val="00690347"/>
    <w:rsid w:val="00691317"/>
    <w:rsid w:val="006914EA"/>
    <w:rsid w:val="0069223E"/>
    <w:rsid w:val="006924DA"/>
    <w:rsid w:val="0069310B"/>
    <w:rsid w:val="00694B0C"/>
    <w:rsid w:val="006953C1"/>
    <w:rsid w:val="00697BDB"/>
    <w:rsid w:val="006A06CF"/>
    <w:rsid w:val="006A0E5E"/>
    <w:rsid w:val="006A183A"/>
    <w:rsid w:val="006A3D3D"/>
    <w:rsid w:val="006A7C12"/>
    <w:rsid w:val="006B2D90"/>
    <w:rsid w:val="006B38CD"/>
    <w:rsid w:val="006B42F4"/>
    <w:rsid w:val="006B51C6"/>
    <w:rsid w:val="006C315F"/>
    <w:rsid w:val="006C3D54"/>
    <w:rsid w:val="006C5652"/>
    <w:rsid w:val="006C5B8D"/>
    <w:rsid w:val="006C627A"/>
    <w:rsid w:val="006C6F63"/>
    <w:rsid w:val="006C73E3"/>
    <w:rsid w:val="006D004D"/>
    <w:rsid w:val="006D10B7"/>
    <w:rsid w:val="006D19C0"/>
    <w:rsid w:val="006D2010"/>
    <w:rsid w:val="006D49DC"/>
    <w:rsid w:val="006D53E8"/>
    <w:rsid w:val="006D6805"/>
    <w:rsid w:val="006D7A7D"/>
    <w:rsid w:val="006E1B44"/>
    <w:rsid w:val="006E3F45"/>
    <w:rsid w:val="006E54E7"/>
    <w:rsid w:val="006E6083"/>
    <w:rsid w:val="006E687A"/>
    <w:rsid w:val="006E7A25"/>
    <w:rsid w:val="006F04FA"/>
    <w:rsid w:val="006F1F8F"/>
    <w:rsid w:val="006F2386"/>
    <w:rsid w:val="006F27F7"/>
    <w:rsid w:val="0070052A"/>
    <w:rsid w:val="007007A0"/>
    <w:rsid w:val="00704927"/>
    <w:rsid w:val="00707D91"/>
    <w:rsid w:val="007107D9"/>
    <w:rsid w:val="00711610"/>
    <w:rsid w:val="00712B47"/>
    <w:rsid w:val="00714EA4"/>
    <w:rsid w:val="0071631D"/>
    <w:rsid w:val="00716ACA"/>
    <w:rsid w:val="00716C50"/>
    <w:rsid w:val="007176B9"/>
    <w:rsid w:val="007208EE"/>
    <w:rsid w:val="0072330C"/>
    <w:rsid w:val="00724376"/>
    <w:rsid w:val="00725CB1"/>
    <w:rsid w:val="007304CC"/>
    <w:rsid w:val="007333F1"/>
    <w:rsid w:val="0073588B"/>
    <w:rsid w:val="00735C4C"/>
    <w:rsid w:val="007402A7"/>
    <w:rsid w:val="0074215E"/>
    <w:rsid w:val="007430BF"/>
    <w:rsid w:val="007431D4"/>
    <w:rsid w:val="00746412"/>
    <w:rsid w:val="007470C9"/>
    <w:rsid w:val="00747FCB"/>
    <w:rsid w:val="00753DFE"/>
    <w:rsid w:val="007542AE"/>
    <w:rsid w:val="007555AE"/>
    <w:rsid w:val="00755C56"/>
    <w:rsid w:val="0075613D"/>
    <w:rsid w:val="007563C0"/>
    <w:rsid w:val="007607C5"/>
    <w:rsid w:val="00761641"/>
    <w:rsid w:val="00761E97"/>
    <w:rsid w:val="00764298"/>
    <w:rsid w:val="007653A1"/>
    <w:rsid w:val="007655AA"/>
    <w:rsid w:val="00765E5D"/>
    <w:rsid w:val="00766BD4"/>
    <w:rsid w:val="00770D07"/>
    <w:rsid w:val="007727EB"/>
    <w:rsid w:val="007752E9"/>
    <w:rsid w:val="007763D4"/>
    <w:rsid w:val="00781E16"/>
    <w:rsid w:val="007855A9"/>
    <w:rsid w:val="00790BF9"/>
    <w:rsid w:val="0079171C"/>
    <w:rsid w:val="00793461"/>
    <w:rsid w:val="0079527F"/>
    <w:rsid w:val="00795F6E"/>
    <w:rsid w:val="007A0915"/>
    <w:rsid w:val="007A2381"/>
    <w:rsid w:val="007A2590"/>
    <w:rsid w:val="007A4304"/>
    <w:rsid w:val="007A44C4"/>
    <w:rsid w:val="007A713D"/>
    <w:rsid w:val="007B0FA1"/>
    <w:rsid w:val="007B1712"/>
    <w:rsid w:val="007B34A1"/>
    <w:rsid w:val="007B533C"/>
    <w:rsid w:val="007B6EE9"/>
    <w:rsid w:val="007B7484"/>
    <w:rsid w:val="007C06F6"/>
    <w:rsid w:val="007C0800"/>
    <w:rsid w:val="007C4560"/>
    <w:rsid w:val="007C5BF2"/>
    <w:rsid w:val="007C7BB0"/>
    <w:rsid w:val="007D04F7"/>
    <w:rsid w:val="007D06BC"/>
    <w:rsid w:val="007E1B88"/>
    <w:rsid w:val="007E3802"/>
    <w:rsid w:val="007E50F5"/>
    <w:rsid w:val="007E5CEE"/>
    <w:rsid w:val="007E6B55"/>
    <w:rsid w:val="007E6DA4"/>
    <w:rsid w:val="007F1F9F"/>
    <w:rsid w:val="007F2CC4"/>
    <w:rsid w:val="007F32FC"/>
    <w:rsid w:val="007F3460"/>
    <w:rsid w:val="007F3715"/>
    <w:rsid w:val="007F38BC"/>
    <w:rsid w:val="007F528F"/>
    <w:rsid w:val="0080530B"/>
    <w:rsid w:val="0080660A"/>
    <w:rsid w:val="00813FF9"/>
    <w:rsid w:val="00814A0B"/>
    <w:rsid w:val="00814CF6"/>
    <w:rsid w:val="00816850"/>
    <w:rsid w:val="00816960"/>
    <w:rsid w:val="008172A3"/>
    <w:rsid w:val="008222F3"/>
    <w:rsid w:val="008233FA"/>
    <w:rsid w:val="008249F5"/>
    <w:rsid w:val="008261C7"/>
    <w:rsid w:val="00827D12"/>
    <w:rsid w:val="00830FC4"/>
    <w:rsid w:val="008353C0"/>
    <w:rsid w:val="00836046"/>
    <w:rsid w:val="00836479"/>
    <w:rsid w:val="0083671A"/>
    <w:rsid w:val="00840C35"/>
    <w:rsid w:val="00842834"/>
    <w:rsid w:val="00844476"/>
    <w:rsid w:val="008445D6"/>
    <w:rsid w:val="00850953"/>
    <w:rsid w:val="00853212"/>
    <w:rsid w:val="00853556"/>
    <w:rsid w:val="00853587"/>
    <w:rsid w:val="00853E9E"/>
    <w:rsid w:val="00854D09"/>
    <w:rsid w:val="00854F14"/>
    <w:rsid w:val="0085632F"/>
    <w:rsid w:val="00861CFA"/>
    <w:rsid w:val="00861E51"/>
    <w:rsid w:val="00864D60"/>
    <w:rsid w:val="00865423"/>
    <w:rsid w:val="008656E9"/>
    <w:rsid w:val="00865FF4"/>
    <w:rsid w:val="00866889"/>
    <w:rsid w:val="00870623"/>
    <w:rsid w:val="0087129E"/>
    <w:rsid w:val="00874CE9"/>
    <w:rsid w:val="00883217"/>
    <w:rsid w:val="008857EE"/>
    <w:rsid w:val="00891A0A"/>
    <w:rsid w:val="00893CB8"/>
    <w:rsid w:val="00895049"/>
    <w:rsid w:val="00895257"/>
    <w:rsid w:val="00895682"/>
    <w:rsid w:val="0089632F"/>
    <w:rsid w:val="008972C9"/>
    <w:rsid w:val="008A4313"/>
    <w:rsid w:val="008A4732"/>
    <w:rsid w:val="008B5E62"/>
    <w:rsid w:val="008C0247"/>
    <w:rsid w:val="008C1B6A"/>
    <w:rsid w:val="008C29DF"/>
    <w:rsid w:val="008D285D"/>
    <w:rsid w:val="008D35AD"/>
    <w:rsid w:val="008D5953"/>
    <w:rsid w:val="008E0981"/>
    <w:rsid w:val="008E243D"/>
    <w:rsid w:val="008E3EC0"/>
    <w:rsid w:val="008E5193"/>
    <w:rsid w:val="008E5332"/>
    <w:rsid w:val="008E7F63"/>
    <w:rsid w:val="008F497A"/>
    <w:rsid w:val="008F629D"/>
    <w:rsid w:val="008F6924"/>
    <w:rsid w:val="00900750"/>
    <w:rsid w:val="009021C1"/>
    <w:rsid w:val="009107C4"/>
    <w:rsid w:val="00910F32"/>
    <w:rsid w:val="00911024"/>
    <w:rsid w:val="009126E3"/>
    <w:rsid w:val="00912F65"/>
    <w:rsid w:val="0091493A"/>
    <w:rsid w:val="009155A0"/>
    <w:rsid w:val="009166AF"/>
    <w:rsid w:val="009204FB"/>
    <w:rsid w:val="00921508"/>
    <w:rsid w:val="009226A0"/>
    <w:rsid w:val="00923234"/>
    <w:rsid w:val="009263BF"/>
    <w:rsid w:val="00927873"/>
    <w:rsid w:val="009318C0"/>
    <w:rsid w:val="00932CF2"/>
    <w:rsid w:val="009330D8"/>
    <w:rsid w:val="00933C86"/>
    <w:rsid w:val="00937747"/>
    <w:rsid w:val="009379F3"/>
    <w:rsid w:val="00937CAC"/>
    <w:rsid w:val="00940730"/>
    <w:rsid w:val="00942FA0"/>
    <w:rsid w:val="00945616"/>
    <w:rsid w:val="00946770"/>
    <w:rsid w:val="00947200"/>
    <w:rsid w:val="009474F2"/>
    <w:rsid w:val="009506AC"/>
    <w:rsid w:val="00950A24"/>
    <w:rsid w:val="0095217E"/>
    <w:rsid w:val="00953D72"/>
    <w:rsid w:val="00955746"/>
    <w:rsid w:val="0096001A"/>
    <w:rsid w:val="00963216"/>
    <w:rsid w:val="0096379D"/>
    <w:rsid w:val="00971963"/>
    <w:rsid w:val="009724CD"/>
    <w:rsid w:val="00975D07"/>
    <w:rsid w:val="00975E8B"/>
    <w:rsid w:val="00980DBB"/>
    <w:rsid w:val="00981418"/>
    <w:rsid w:val="009840DA"/>
    <w:rsid w:val="00984558"/>
    <w:rsid w:val="00991E43"/>
    <w:rsid w:val="00992DC4"/>
    <w:rsid w:val="009938A9"/>
    <w:rsid w:val="009952CA"/>
    <w:rsid w:val="009975F4"/>
    <w:rsid w:val="009A124D"/>
    <w:rsid w:val="009A40CE"/>
    <w:rsid w:val="009A40DA"/>
    <w:rsid w:val="009A5FA3"/>
    <w:rsid w:val="009B1872"/>
    <w:rsid w:val="009B403F"/>
    <w:rsid w:val="009B459F"/>
    <w:rsid w:val="009B463D"/>
    <w:rsid w:val="009B48F4"/>
    <w:rsid w:val="009B4A32"/>
    <w:rsid w:val="009B7FAF"/>
    <w:rsid w:val="009C0407"/>
    <w:rsid w:val="009C2E3B"/>
    <w:rsid w:val="009C5425"/>
    <w:rsid w:val="009C68FB"/>
    <w:rsid w:val="009C6D6B"/>
    <w:rsid w:val="009C7951"/>
    <w:rsid w:val="009D42F0"/>
    <w:rsid w:val="009D4467"/>
    <w:rsid w:val="009D75FE"/>
    <w:rsid w:val="009E1E8A"/>
    <w:rsid w:val="009E279D"/>
    <w:rsid w:val="009E3B74"/>
    <w:rsid w:val="009E485A"/>
    <w:rsid w:val="009E51B9"/>
    <w:rsid w:val="009F0262"/>
    <w:rsid w:val="009F04B4"/>
    <w:rsid w:val="009F32F0"/>
    <w:rsid w:val="009F4A45"/>
    <w:rsid w:val="009F69B3"/>
    <w:rsid w:val="00A00EB4"/>
    <w:rsid w:val="00A0264E"/>
    <w:rsid w:val="00A04548"/>
    <w:rsid w:val="00A04A4A"/>
    <w:rsid w:val="00A06D82"/>
    <w:rsid w:val="00A079BA"/>
    <w:rsid w:val="00A10C43"/>
    <w:rsid w:val="00A11F3F"/>
    <w:rsid w:val="00A12AE4"/>
    <w:rsid w:val="00A12CD7"/>
    <w:rsid w:val="00A15261"/>
    <w:rsid w:val="00A17602"/>
    <w:rsid w:val="00A17715"/>
    <w:rsid w:val="00A17898"/>
    <w:rsid w:val="00A205F5"/>
    <w:rsid w:val="00A209C0"/>
    <w:rsid w:val="00A22C8A"/>
    <w:rsid w:val="00A235A0"/>
    <w:rsid w:val="00A23E04"/>
    <w:rsid w:val="00A2503F"/>
    <w:rsid w:val="00A25C7C"/>
    <w:rsid w:val="00A301DF"/>
    <w:rsid w:val="00A30F24"/>
    <w:rsid w:val="00A331A1"/>
    <w:rsid w:val="00A35436"/>
    <w:rsid w:val="00A35939"/>
    <w:rsid w:val="00A35D81"/>
    <w:rsid w:val="00A36057"/>
    <w:rsid w:val="00A37774"/>
    <w:rsid w:val="00A40A49"/>
    <w:rsid w:val="00A511F0"/>
    <w:rsid w:val="00A51389"/>
    <w:rsid w:val="00A51D34"/>
    <w:rsid w:val="00A53E32"/>
    <w:rsid w:val="00A550C6"/>
    <w:rsid w:val="00A60C2A"/>
    <w:rsid w:val="00A62A08"/>
    <w:rsid w:val="00A669F2"/>
    <w:rsid w:val="00A66D14"/>
    <w:rsid w:val="00A67D09"/>
    <w:rsid w:val="00A73BF7"/>
    <w:rsid w:val="00A75480"/>
    <w:rsid w:val="00A75D38"/>
    <w:rsid w:val="00A76153"/>
    <w:rsid w:val="00A76215"/>
    <w:rsid w:val="00A77296"/>
    <w:rsid w:val="00A8059F"/>
    <w:rsid w:val="00A82B7F"/>
    <w:rsid w:val="00A83A16"/>
    <w:rsid w:val="00A8586A"/>
    <w:rsid w:val="00A861C0"/>
    <w:rsid w:val="00A91A25"/>
    <w:rsid w:val="00A92C90"/>
    <w:rsid w:val="00A93220"/>
    <w:rsid w:val="00A9382E"/>
    <w:rsid w:val="00A93D02"/>
    <w:rsid w:val="00A9488C"/>
    <w:rsid w:val="00AA0A17"/>
    <w:rsid w:val="00AA119E"/>
    <w:rsid w:val="00AA3354"/>
    <w:rsid w:val="00AA4B44"/>
    <w:rsid w:val="00AA705F"/>
    <w:rsid w:val="00AA745C"/>
    <w:rsid w:val="00AB294D"/>
    <w:rsid w:val="00AB540C"/>
    <w:rsid w:val="00AB5833"/>
    <w:rsid w:val="00AB61C9"/>
    <w:rsid w:val="00AB7669"/>
    <w:rsid w:val="00AC0041"/>
    <w:rsid w:val="00AC1939"/>
    <w:rsid w:val="00AC3A1A"/>
    <w:rsid w:val="00AC420D"/>
    <w:rsid w:val="00AC56EC"/>
    <w:rsid w:val="00AC73EC"/>
    <w:rsid w:val="00AC7775"/>
    <w:rsid w:val="00AD0A37"/>
    <w:rsid w:val="00AD31F7"/>
    <w:rsid w:val="00AD4DF6"/>
    <w:rsid w:val="00AD510A"/>
    <w:rsid w:val="00AD60F4"/>
    <w:rsid w:val="00AE03EF"/>
    <w:rsid w:val="00AE1F0B"/>
    <w:rsid w:val="00AE287F"/>
    <w:rsid w:val="00AE3096"/>
    <w:rsid w:val="00AE3ED5"/>
    <w:rsid w:val="00AE44E0"/>
    <w:rsid w:val="00AE683C"/>
    <w:rsid w:val="00AE69DB"/>
    <w:rsid w:val="00AE75CD"/>
    <w:rsid w:val="00AE7F0C"/>
    <w:rsid w:val="00AF4900"/>
    <w:rsid w:val="00AF4DBC"/>
    <w:rsid w:val="00AF5ABE"/>
    <w:rsid w:val="00AF5D62"/>
    <w:rsid w:val="00AF662E"/>
    <w:rsid w:val="00AF7456"/>
    <w:rsid w:val="00B012D5"/>
    <w:rsid w:val="00B01C73"/>
    <w:rsid w:val="00B02392"/>
    <w:rsid w:val="00B03DD4"/>
    <w:rsid w:val="00B0420B"/>
    <w:rsid w:val="00B0472D"/>
    <w:rsid w:val="00B048B5"/>
    <w:rsid w:val="00B07350"/>
    <w:rsid w:val="00B078E1"/>
    <w:rsid w:val="00B11938"/>
    <w:rsid w:val="00B11AD2"/>
    <w:rsid w:val="00B11D78"/>
    <w:rsid w:val="00B11F50"/>
    <w:rsid w:val="00B12CB8"/>
    <w:rsid w:val="00B12D1B"/>
    <w:rsid w:val="00B155EF"/>
    <w:rsid w:val="00B17540"/>
    <w:rsid w:val="00B225CD"/>
    <w:rsid w:val="00B236EA"/>
    <w:rsid w:val="00B2607F"/>
    <w:rsid w:val="00B27297"/>
    <w:rsid w:val="00B33DEF"/>
    <w:rsid w:val="00B36F11"/>
    <w:rsid w:val="00B4029B"/>
    <w:rsid w:val="00B427A5"/>
    <w:rsid w:val="00B5000B"/>
    <w:rsid w:val="00B51921"/>
    <w:rsid w:val="00B5295A"/>
    <w:rsid w:val="00B54D74"/>
    <w:rsid w:val="00B60CCF"/>
    <w:rsid w:val="00B62147"/>
    <w:rsid w:val="00B630B3"/>
    <w:rsid w:val="00B6580F"/>
    <w:rsid w:val="00B665C6"/>
    <w:rsid w:val="00B668BD"/>
    <w:rsid w:val="00B66B4B"/>
    <w:rsid w:val="00B70407"/>
    <w:rsid w:val="00B704BC"/>
    <w:rsid w:val="00B718C6"/>
    <w:rsid w:val="00B72296"/>
    <w:rsid w:val="00B72DBC"/>
    <w:rsid w:val="00B7392B"/>
    <w:rsid w:val="00B7523C"/>
    <w:rsid w:val="00B752C4"/>
    <w:rsid w:val="00B81B46"/>
    <w:rsid w:val="00B82248"/>
    <w:rsid w:val="00B8242B"/>
    <w:rsid w:val="00B8478B"/>
    <w:rsid w:val="00B877B5"/>
    <w:rsid w:val="00B90B9A"/>
    <w:rsid w:val="00B9146C"/>
    <w:rsid w:val="00B9496C"/>
    <w:rsid w:val="00B951DC"/>
    <w:rsid w:val="00B97C45"/>
    <w:rsid w:val="00BA3146"/>
    <w:rsid w:val="00BA3647"/>
    <w:rsid w:val="00BA3CA9"/>
    <w:rsid w:val="00BA4D11"/>
    <w:rsid w:val="00BA4DD2"/>
    <w:rsid w:val="00BA52E4"/>
    <w:rsid w:val="00BA5CFA"/>
    <w:rsid w:val="00BB17EE"/>
    <w:rsid w:val="00BB4BA4"/>
    <w:rsid w:val="00BB610A"/>
    <w:rsid w:val="00BB6D47"/>
    <w:rsid w:val="00BB7CF9"/>
    <w:rsid w:val="00BC243A"/>
    <w:rsid w:val="00BC610D"/>
    <w:rsid w:val="00BD15A3"/>
    <w:rsid w:val="00BD3D7D"/>
    <w:rsid w:val="00BD5007"/>
    <w:rsid w:val="00BD75E6"/>
    <w:rsid w:val="00BE2270"/>
    <w:rsid w:val="00BE23A9"/>
    <w:rsid w:val="00BE27AF"/>
    <w:rsid w:val="00BE2A63"/>
    <w:rsid w:val="00BE3875"/>
    <w:rsid w:val="00BE72D2"/>
    <w:rsid w:val="00BF2B2A"/>
    <w:rsid w:val="00BF3872"/>
    <w:rsid w:val="00BF5A21"/>
    <w:rsid w:val="00BF5D8D"/>
    <w:rsid w:val="00C013F5"/>
    <w:rsid w:val="00C01EEE"/>
    <w:rsid w:val="00C027BB"/>
    <w:rsid w:val="00C0314A"/>
    <w:rsid w:val="00C0342E"/>
    <w:rsid w:val="00C047DE"/>
    <w:rsid w:val="00C0505C"/>
    <w:rsid w:val="00C073CA"/>
    <w:rsid w:val="00C11BD0"/>
    <w:rsid w:val="00C1316F"/>
    <w:rsid w:val="00C204EF"/>
    <w:rsid w:val="00C23547"/>
    <w:rsid w:val="00C25826"/>
    <w:rsid w:val="00C355F3"/>
    <w:rsid w:val="00C3657A"/>
    <w:rsid w:val="00C4091B"/>
    <w:rsid w:val="00C426C4"/>
    <w:rsid w:val="00C426FD"/>
    <w:rsid w:val="00C436CE"/>
    <w:rsid w:val="00C43CE4"/>
    <w:rsid w:val="00C4456B"/>
    <w:rsid w:val="00C461A6"/>
    <w:rsid w:val="00C478F0"/>
    <w:rsid w:val="00C51750"/>
    <w:rsid w:val="00C526AE"/>
    <w:rsid w:val="00C5457F"/>
    <w:rsid w:val="00C55521"/>
    <w:rsid w:val="00C55759"/>
    <w:rsid w:val="00C57038"/>
    <w:rsid w:val="00C637EA"/>
    <w:rsid w:val="00C65E14"/>
    <w:rsid w:val="00C665F4"/>
    <w:rsid w:val="00C6716C"/>
    <w:rsid w:val="00C67283"/>
    <w:rsid w:val="00C718B0"/>
    <w:rsid w:val="00C718DD"/>
    <w:rsid w:val="00C74B5D"/>
    <w:rsid w:val="00C77141"/>
    <w:rsid w:val="00C80C2F"/>
    <w:rsid w:val="00C82325"/>
    <w:rsid w:val="00C856FE"/>
    <w:rsid w:val="00C86113"/>
    <w:rsid w:val="00C86D9A"/>
    <w:rsid w:val="00C91D7A"/>
    <w:rsid w:val="00C94E9C"/>
    <w:rsid w:val="00C95C64"/>
    <w:rsid w:val="00C9605C"/>
    <w:rsid w:val="00CA0E66"/>
    <w:rsid w:val="00CA3430"/>
    <w:rsid w:val="00CA3C3E"/>
    <w:rsid w:val="00CA425F"/>
    <w:rsid w:val="00CA496A"/>
    <w:rsid w:val="00CA50A2"/>
    <w:rsid w:val="00CA7316"/>
    <w:rsid w:val="00CA7879"/>
    <w:rsid w:val="00CA7C37"/>
    <w:rsid w:val="00CB1EA7"/>
    <w:rsid w:val="00CB6AA6"/>
    <w:rsid w:val="00CB72C7"/>
    <w:rsid w:val="00CB748D"/>
    <w:rsid w:val="00CC0988"/>
    <w:rsid w:val="00CC09A5"/>
    <w:rsid w:val="00CC1B79"/>
    <w:rsid w:val="00CC54A0"/>
    <w:rsid w:val="00CC62ED"/>
    <w:rsid w:val="00CC66E4"/>
    <w:rsid w:val="00CC6FEA"/>
    <w:rsid w:val="00CC7151"/>
    <w:rsid w:val="00CD19F9"/>
    <w:rsid w:val="00CD2871"/>
    <w:rsid w:val="00CD2933"/>
    <w:rsid w:val="00CD4660"/>
    <w:rsid w:val="00CD48CD"/>
    <w:rsid w:val="00CD54CD"/>
    <w:rsid w:val="00CD7341"/>
    <w:rsid w:val="00CD7408"/>
    <w:rsid w:val="00CE5A5A"/>
    <w:rsid w:val="00CE5FC3"/>
    <w:rsid w:val="00CE6698"/>
    <w:rsid w:val="00CE7C73"/>
    <w:rsid w:val="00CF1971"/>
    <w:rsid w:val="00CF1BE3"/>
    <w:rsid w:val="00CF4F95"/>
    <w:rsid w:val="00CF5734"/>
    <w:rsid w:val="00CF7354"/>
    <w:rsid w:val="00D015F8"/>
    <w:rsid w:val="00D01F60"/>
    <w:rsid w:val="00D04646"/>
    <w:rsid w:val="00D10D31"/>
    <w:rsid w:val="00D115D6"/>
    <w:rsid w:val="00D1355A"/>
    <w:rsid w:val="00D17FBC"/>
    <w:rsid w:val="00D208A3"/>
    <w:rsid w:val="00D23291"/>
    <w:rsid w:val="00D23C85"/>
    <w:rsid w:val="00D252B2"/>
    <w:rsid w:val="00D27E5D"/>
    <w:rsid w:val="00D30B5E"/>
    <w:rsid w:val="00D31FE8"/>
    <w:rsid w:val="00D33A66"/>
    <w:rsid w:val="00D3507A"/>
    <w:rsid w:val="00D357A1"/>
    <w:rsid w:val="00D36952"/>
    <w:rsid w:val="00D40FCB"/>
    <w:rsid w:val="00D4110C"/>
    <w:rsid w:val="00D4122E"/>
    <w:rsid w:val="00D42DBE"/>
    <w:rsid w:val="00D44AD0"/>
    <w:rsid w:val="00D45E3D"/>
    <w:rsid w:val="00D538CE"/>
    <w:rsid w:val="00D56DEA"/>
    <w:rsid w:val="00D60B4B"/>
    <w:rsid w:val="00D6121A"/>
    <w:rsid w:val="00D627B2"/>
    <w:rsid w:val="00D63EFF"/>
    <w:rsid w:val="00D64F36"/>
    <w:rsid w:val="00D65570"/>
    <w:rsid w:val="00D65D19"/>
    <w:rsid w:val="00D67327"/>
    <w:rsid w:val="00D67856"/>
    <w:rsid w:val="00D67B05"/>
    <w:rsid w:val="00D70E11"/>
    <w:rsid w:val="00D74CE3"/>
    <w:rsid w:val="00D7543F"/>
    <w:rsid w:val="00D77A09"/>
    <w:rsid w:val="00D77D86"/>
    <w:rsid w:val="00D77DE6"/>
    <w:rsid w:val="00D81DB0"/>
    <w:rsid w:val="00D8416C"/>
    <w:rsid w:val="00D84298"/>
    <w:rsid w:val="00D844DF"/>
    <w:rsid w:val="00D86A84"/>
    <w:rsid w:val="00D91D46"/>
    <w:rsid w:val="00D91DA4"/>
    <w:rsid w:val="00D94C09"/>
    <w:rsid w:val="00D9503A"/>
    <w:rsid w:val="00D96394"/>
    <w:rsid w:val="00D9639B"/>
    <w:rsid w:val="00D96E47"/>
    <w:rsid w:val="00D9715D"/>
    <w:rsid w:val="00DA10A4"/>
    <w:rsid w:val="00DA2BB7"/>
    <w:rsid w:val="00DA6924"/>
    <w:rsid w:val="00DA77F0"/>
    <w:rsid w:val="00DB2123"/>
    <w:rsid w:val="00DB21DF"/>
    <w:rsid w:val="00DB392A"/>
    <w:rsid w:val="00DB3BBC"/>
    <w:rsid w:val="00DC0D24"/>
    <w:rsid w:val="00DC1ECF"/>
    <w:rsid w:val="00DC25ED"/>
    <w:rsid w:val="00DC4FDC"/>
    <w:rsid w:val="00DC5C4E"/>
    <w:rsid w:val="00DC5CD2"/>
    <w:rsid w:val="00DC620C"/>
    <w:rsid w:val="00DD00CB"/>
    <w:rsid w:val="00DD0882"/>
    <w:rsid w:val="00DD259C"/>
    <w:rsid w:val="00DD296B"/>
    <w:rsid w:val="00DD3A2A"/>
    <w:rsid w:val="00DD55D5"/>
    <w:rsid w:val="00DD63BB"/>
    <w:rsid w:val="00DE1608"/>
    <w:rsid w:val="00DE413C"/>
    <w:rsid w:val="00DE71EA"/>
    <w:rsid w:val="00DF08B6"/>
    <w:rsid w:val="00DF11AB"/>
    <w:rsid w:val="00DF36CD"/>
    <w:rsid w:val="00E0198E"/>
    <w:rsid w:val="00E0228D"/>
    <w:rsid w:val="00E03621"/>
    <w:rsid w:val="00E0396F"/>
    <w:rsid w:val="00E05471"/>
    <w:rsid w:val="00E06F0F"/>
    <w:rsid w:val="00E10BAF"/>
    <w:rsid w:val="00E11693"/>
    <w:rsid w:val="00E1414D"/>
    <w:rsid w:val="00E154F5"/>
    <w:rsid w:val="00E17F39"/>
    <w:rsid w:val="00E20D6D"/>
    <w:rsid w:val="00E20E71"/>
    <w:rsid w:val="00E2235E"/>
    <w:rsid w:val="00E23101"/>
    <w:rsid w:val="00E25E77"/>
    <w:rsid w:val="00E309C2"/>
    <w:rsid w:val="00E3147B"/>
    <w:rsid w:val="00E31FBD"/>
    <w:rsid w:val="00E3355A"/>
    <w:rsid w:val="00E356DB"/>
    <w:rsid w:val="00E357A6"/>
    <w:rsid w:val="00E40507"/>
    <w:rsid w:val="00E40DAC"/>
    <w:rsid w:val="00E414A1"/>
    <w:rsid w:val="00E425F6"/>
    <w:rsid w:val="00E44F10"/>
    <w:rsid w:val="00E45705"/>
    <w:rsid w:val="00E46AA3"/>
    <w:rsid w:val="00E47437"/>
    <w:rsid w:val="00E5013E"/>
    <w:rsid w:val="00E51944"/>
    <w:rsid w:val="00E54D65"/>
    <w:rsid w:val="00E57D5A"/>
    <w:rsid w:val="00E60498"/>
    <w:rsid w:val="00E62320"/>
    <w:rsid w:val="00E65F7D"/>
    <w:rsid w:val="00E67764"/>
    <w:rsid w:val="00E77874"/>
    <w:rsid w:val="00E812EF"/>
    <w:rsid w:val="00E81442"/>
    <w:rsid w:val="00E82683"/>
    <w:rsid w:val="00E8534F"/>
    <w:rsid w:val="00E85FA1"/>
    <w:rsid w:val="00E930B3"/>
    <w:rsid w:val="00E9507E"/>
    <w:rsid w:val="00E95DBE"/>
    <w:rsid w:val="00EA338A"/>
    <w:rsid w:val="00EA4150"/>
    <w:rsid w:val="00EA459A"/>
    <w:rsid w:val="00EA5AA4"/>
    <w:rsid w:val="00EA5C63"/>
    <w:rsid w:val="00EB0503"/>
    <w:rsid w:val="00EB0D59"/>
    <w:rsid w:val="00EB0F1E"/>
    <w:rsid w:val="00EB1E03"/>
    <w:rsid w:val="00EB59BB"/>
    <w:rsid w:val="00EB7491"/>
    <w:rsid w:val="00EB7A25"/>
    <w:rsid w:val="00EC0C77"/>
    <w:rsid w:val="00EC2528"/>
    <w:rsid w:val="00EC2BA0"/>
    <w:rsid w:val="00EC6A31"/>
    <w:rsid w:val="00EC7F36"/>
    <w:rsid w:val="00ED1076"/>
    <w:rsid w:val="00ED26D5"/>
    <w:rsid w:val="00ED368B"/>
    <w:rsid w:val="00ED5331"/>
    <w:rsid w:val="00ED5E8D"/>
    <w:rsid w:val="00ED6CBC"/>
    <w:rsid w:val="00ED6DC5"/>
    <w:rsid w:val="00ED6EF6"/>
    <w:rsid w:val="00EE0C15"/>
    <w:rsid w:val="00EE0F23"/>
    <w:rsid w:val="00EE3097"/>
    <w:rsid w:val="00EE318B"/>
    <w:rsid w:val="00EE388E"/>
    <w:rsid w:val="00EE4ADF"/>
    <w:rsid w:val="00EE4DCA"/>
    <w:rsid w:val="00EE648B"/>
    <w:rsid w:val="00EE685F"/>
    <w:rsid w:val="00EE77C0"/>
    <w:rsid w:val="00EF6A7C"/>
    <w:rsid w:val="00F00550"/>
    <w:rsid w:val="00F02B3B"/>
    <w:rsid w:val="00F03D82"/>
    <w:rsid w:val="00F0427E"/>
    <w:rsid w:val="00F059EE"/>
    <w:rsid w:val="00F06386"/>
    <w:rsid w:val="00F06AD5"/>
    <w:rsid w:val="00F07A8D"/>
    <w:rsid w:val="00F1261E"/>
    <w:rsid w:val="00F13228"/>
    <w:rsid w:val="00F14F0C"/>
    <w:rsid w:val="00F15B21"/>
    <w:rsid w:val="00F15B58"/>
    <w:rsid w:val="00F17CBC"/>
    <w:rsid w:val="00F2039C"/>
    <w:rsid w:val="00F222AE"/>
    <w:rsid w:val="00F232A1"/>
    <w:rsid w:val="00F2363D"/>
    <w:rsid w:val="00F25379"/>
    <w:rsid w:val="00F25AF4"/>
    <w:rsid w:val="00F27C9F"/>
    <w:rsid w:val="00F3008A"/>
    <w:rsid w:val="00F308DD"/>
    <w:rsid w:val="00F33427"/>
    <w:rsid w:val="00F3628B"/>
    <w:rsid w:val="00F40B2B"/>
    <w:rsid w:val="00F4262A"/>
    <w:rsid w:val="00F42C42"/>
    <w:rsid w:val="00F43250"/>
    <w:rsid w:val="00F463AA"/>
    <w:rsid w:val="00F503A4"/>
    <w:rsid w:val="00F52663"/>
    <w:rsid w:val="00F56311"/>
    <w:rsid w:val="00F613A6"/>
    <w:rsid w:val="00F62C5A"/>
    <w:rsid w:val="00F64295"/>
    <w:rsid w:val="00F650F7"/>
    <w:rsid w:val="00F70672"/>
    <w:rsid w:val="00F7554E"/>
    <w:rsid w:val="00F75719"/>
    <w:rsid w:val="00F77957"/>
    <w:rsid w:val="00F8136B"/>
    <w:rsid w:val="00F8186B"/>
    <w:rsid w:val="00F86156"/>
    <w:rsid w:val="00F866DD"/>
    <w:rsid w:val="00F90E47"/>
    <w:rsid w:val="00F9108F"/>
    <w:rsid w:val="00F91B48"/>
    <w:rsid w:val="00F92F0E"/>
    <w:rsid w:val="00F9407A"/>
    <w:rsid w:val="00FA3148"/>
    <w:rsid w:val="00FA632E"/>
    <w:rsid w:val="00FA6BFA"/>
    <w:rsid w:val="00FA75EB"/>
    <w:rsid w:val="00FA7745"/>
    <w:rsid w:val="00FB076C"/>
    <w:rsid w:val="00FB17DA"/>
    <w:rsid w:val="00FB4B83"/>
    <w:rsid w:val="00FC008D"/>
    <w:rsid w:val="00FC4592"/>
    <w:rsid w:val="00FC48F4"/>
    <w:rsid w:val="00FC721A"/>
    <w:rsid w:val="00FC78ED"/>
    <w:rsid w:val="00FD1F33"/>
    <w:rsid w:val="00FD3168"/>
    <w:rsid w:val="00FD372F"/>
    <w:rsid w:val="00FD37CA"/>
    <w:rsid w:val="00FD3827"/>
    <w:rsid w:val="00FE0A6F"/>
    <w:rsid w:val="00FE18C5"/>
    <w:rsid w:val="00FE3098"/>
    <w:rsid w:val="00FE36F6"/>
    <w:rsid w:val="00FE3E7C"/>
    <w:rsid w:val="00FE46EE"/>
    <w:rsid w:val="00FE68A8"/>
    <w:rsid w:val="00FE6A78"/>
    <w:rsid w:val="00FE6D9C"/>
    <w:rsid w:val="00FE7645"/>
    <w:rsid w:val="00FF0F6F"/>
    <w:rsid w:val="00FF102E"/>
    <w:rsid w:val="00FF1E29"/>
    <w:rsid w:val="00FF1E89"/>
    <w:rsid w:val="00FF4D3E"/>
    <w:rsid w:val="00FF6161"/>
    <w:rsid w:val="00FF7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726BC5"/>
  <w15:docId w15:val="{966EB43B-ED0C-4BDD-8904-43842597F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028F"/>
    <w:rPr>
      <w:rFonts w:asciiTheme="minorHAnsi" w:hAnsiTheme="minorHAnsi" w:cs="Arial"/>
    </w:rPr>
  </w:style>
  <w:style w:type="paragraph" w:styleId="Heading1">
    <w:name w:val="heading 1"/>
    <w:basedOn w:val="Normal"/>
    <w:next w:val="Normal"/>
    <w:link w:val="Heading1Char"/>
    <w:qFormat/>
    <w:rsid w:val="00AF7456"/>
    <w:pPr>
      <w:keepNext/>
      <w:keepLines/>
      <w:spacing w:before="480"/>
      <w:outlineLvl w:val="0"/>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link w:val="TOC1Char"/>
    <w:autoRedefine/>
    <w:semiHidden/>
    <w:unhideWhenUsed/>
    <w:rsid w:val="003803BE"/>
    <w:pPr>
      <w:tabs>
        <w:tab w:val="right" w:leader="dot" w:pos="8630"/>
      </w:tabs>
      <w:spacing w:before="120" w:after="120"/>
    </w:pPr>
    <w:rPr>
      <w:rFonts w:ascii="Times New Roman" w:hAnsi="Times New Roman" w:cs="Times New Roman"/>
      <w:b/>
      <w:bCs/>
      <w:caps/>
    </w:rPr>
  </w:style>
  <w:style w:type="paragraph" w:styleId="TOC2">
    <w:name w:val="toc 2"/>
    <w:basedOn w:val="Normal"/>
    <w:next w:val="Normal"/>
    <w:link w:val="TOC2Char"/>
    <w:autoRedefine/>
    <w:semiHidden/>
    <w:unhideWhenUsed/>
    <w:rsid w:val="00DC5C4E"/>
    <w:pPr>
      <w:ind w:left="200"/>
    </w:pPr>
    <w:rPr>
      <w:rFonts w:ascii="Times New Roman" w:hAnsi="Times New Roman" w:cs="Times New Roman"/>
      <w:smallCaps/>
    </w:rPr>
  </w:style>
  <w:style w:type="paragraph" w:styleId="TOC3">
    <w:name w:val="toc 3"/>
    <w:basedOn w:val="Normal"/>
    <w:next w:val="Normal"/>
    <w:link w:val="TOC3Char"/>
    <w:autoRedefine/>
    <w:semiHidden/>
    <w:unhideWhenUsed/>
    <w:rsid w:val="00DC5C4E"/>
    <w:pPr>
      <w:ind w:left="400"/>
    </w:pPr>
    <w:rPr>
      <w:rFonts w:ascii="Times New Roman" w:hAnsi="Times New Roman" w:cs="Times New Roman"/>
      <w:i/>
      <w:iCs/>
    </w:rPr>
  </w:style>
  <w:style w:type="paragraph" w:customStyle="1" w:styleId="Level3">
    <w:name w:val="Level 3"/>
    <w:basedOn w:val="TOC3"/>
    <w:link w:val="Level3CharChar"/>
    <w:qFormat/>
    <w:rsid w:val="00AF7456"/>
    <w:pPr>
      <w:tabs>
        <w:tab w:val="right" w:leader="dot" w:pos="8630"/>
      </w:tabs>
    </w:pPr>
    <w:rPr>
      <w:rFonts w:asciiTheme="majorHAnsi" w:hAnsiTheme="majorHAnsi"/>
    </w:rPr>
  </w:style>
  <w:style w:type="paragraph" w:customStyle="1" w:styleId="TOCTitle">
    <w:name w:val="TOC Title"/>
    <w:basedOn w:val="Normal"/>
    <w:qFormat/>
    <w:rsid w:val="00AF7456"/>
    <w:pPr>
      <w:spacing w:after="240"/>
      <w:jc w:val="center"/>
    </w:pPr>
    <w:rPr>
      <w:rFonts w:asciiTheme="majorHAnsi" w:hAnsiTheme="majorHAnsi" w:cs="Times New Roman"/>
      <w:b/>
      <w:sz w:val="24"/>
      <w:szCs w:val="24"/>
    </w:rPr>
  </w:style>
  <w:style w:type="character" w:customStyle="1" w:styleId="TOC3Char">
    <w:name w:val="TOC 3 Char"/>
    <w:basedOn w:val="DefaultParagraphFont"/>
    <w:link w:val="TOC3"/>
    <w:semiHidden/>
    <w:rsid w:val="0003028F"/>
    <w:rPr>
      <w:i/>
      <w:iCs/>
    </w:rPr>
  </w:style>
  <w:style w:type="character" w:customStyle="1" w:styleId="Level3CharChar">
    <w:name w:val="Level 3 Char Char"/>
    <w:basedOn w:val="TOC3Char"/>
    <w:link w:val="Level3"/>
    <w:rsid w:val="00AF7456"/>
    <w:rPr>
      <w:rFonts w:asciiTheme="majorHAnsi" w:hAnsiTheme="majorHAnsi"/>
      <w:i/>
      <w:iCs/>
    </w:rPr>
  </w:style>
  <w:style w:type="paragraph" w:customStyle="1" w:styleId="Level1">
    <w:name w:val="Level 1"/>
    <w:basedOn w:val="TOC1"/>
    <w:link w:val="Level1Char"/>
    <w:qFormat/>
    <w:rsid w:val="0003028F"/>
    <w:rPr>
      <w:rFonts w:asciiTheme="majorHAnsi" w:hAnsiTheme="majorHAnsi"/>
    </w:rPr>
  </w:style>
  <w:style w:type="character" w:customStyle="1" w:styleId="TOC1Char">
    <w:name w:val="TOC 1 Char"/>
    <w:basedOn w:val="DefaultParagraphFont"/>
    <w:link w:val="TOC1"/>
    <w:semiHidden/>
    <w:rsid w:val="0003028F"/>
    <w:rPr>
      <w:b/>
      <w:bCs/>
      <w:caps/>
    </w:rPr>
  </w:style>
  <w:style w:type="character" w:customStyle="1" w:styleId="Level1Char">
    <w:name w:val="Level 1 Char"/>
    <w:basedOn w:val="TOC1Char"/>
    <w:link w:val="Level1"/>
    <w:rsid w:val="0003028F"/>
    <w:rPr>
      <w:rFonts w:asciiTheme="majorHAnsi" w:hAnsiTheme="majorHAnsi"/>
      <w:b/>
      <w:bCs/>
      <w:caps/>
    </w:rPr>
  </w:style>
  <w:style w:type="paragraph" w:customStyle="1" w:styleId="Level2">
    <w:name w:val="Level 2"/>
    <w:basedOn w:val="TOC2"/>
    <w:link w:val="Level2Char"/>
    <w:qFormat/>
    <w:rsid w:val="00AF7456"/>
    <w:pPr>
      <w:tabs>
        <w:tab w:val="right" w:leader="dot" w:pos="8630"/>
      </w:tabs>
    </w:pPr>
    <w:rPr>
      <w:rFonts w:asciiTheme="majorHAnsi" w:hAnsiTheme="majorHAnsi"/>
      <w:color w:val="000000"/>
    </w:rPr>
  </w:style>
  <w:style w:type="character" w:customStyle="1" w:styleId="TOC2Char">
    <w:name w:val="TOC 2 Char"/>
    <w:basedOn w:val="DefaultParagraphFont"/>
    <w:link w:val="TOC2"/>
    <w:semiHidden/>
    <w:rsid w:val="0003028F"/>
    <w:rPr>
      <w:smallCaps/>
    </w:rPr>
  </w:style>
  <w:style w:type="character" w:customStyle="1" w:styleId="Level2Char">
    <w:name w:val="Level 2 Char"/>
    <w:basedOn w:val="TOC2Char"/>
    <w:link w:val="Level2"/>
    <w:rsid w:val="00AF7456"/>
    <w:rPr>
      <w:rFonts w:asciiTheme="majorHAnsi" w:hAnsiTheme="majorHAnsi"/>
      <w:smallCaps/>
      <w:color w:val="000000"/>
    </w:rPr>
  </w:style>
  <w:style w:type="character" w:customStyle="1" w:styleId="Heading1Char">
    <w:name w:val="Heading 1 Char"/>
    <w:basedOn w:val="DefaultParagraphFont"/>
    <w:link w:val="Heading1"/>
    <w:rsid w:val="00AF7456"/>
    <w:rPr>
      <w:rFonts w:asciiTheme="majorHAnsi" w:eastAsiaTheme="majorEastAsia" w:hAnsiTheme="majorHAnsi" w:cstheme="majorBidi"/>
      <w:b/>
      <w:bCs/>
      <w:sz w:val="28"/>
      <w:szCs w:val="28"/>
    </w:rPr>
  </w:style>
  <w:style w:type="character" w:styleId="PlaceholderText">
    <w:name w:val="Placeholder Text"/>
    <w:basedOn w:val="DefaultParagraphFont"/>
    <w:uiPriority w:val="99"/>
    <w:semiHidden/>
    <w:rsid w:val="00AF7456"/>
    <w:rPr>
      <w:color w:val="808080"/>
    </w:rPr>
  </w:style>
  <w:style w:type="paragraph" w:styleId="BalloonText">
    <w:name w:val="Balloon Text"/>
    <w:basedOn w:val="Normal"/>
    <w:link w:val="BalloonTextChar"/>
    <w:semiHidden/>
    <w:unhideWhenUsed/>
    <w:rsid w:val="00AF7456"/>
    <w:rPr>
      <w:rFonts w:ascii="Tahoma" w:hAnsi="Tahoma" w:cs="Tahoma"/>
      <w:sz w:val="16"/>
      <w:szCs w:val="16"/>
    </w:rPr>
  </w:style>
  <w:style w:type="character" w:customStyle="1" w:styleId="BalloonTextChar">
    <w:name w:val="Balloon Text Char"/>
    <w:basedOn w:val="DefaultParagraphFont"/>
    <w:link w:val="BalloonText"/>
    <w:semiHidden/>
    <w:rsid w:val="00AF7456"/>
    <w:rPr>
      <w:rFonts w:ascii="Tahoma" w:hAnsi="Tahoma" w:cs="Tahoma"/>
      <w:sz w:val="16"/>
      <w:szCs w:val="16"/>
    </w:rPr>
  </w:style>
  <w:style w:type="paragraph" w:styleId="Header">
    <w:name w:val="header"/>
    <w:basedOn w:val="Normal"/>
    <w:link w:val="HeaderChar"/>
    <w:unhideWhenUsed/>
    <w:rsid w:val="003D15F0"/>
    <w:pPr>
      <w:tabs>
        <w:tab w:val="center" w:pos="4680"/>
        <w:tab w:val="right" w:pos="9360"/>
      </w:tabs>
    </w:pPr>
  </w:style>
  <w:style w:type="character" w:customStyle="1" w:styleId="HeaderChar">
    <w:name w:val="Header Char"/>
    <w:basedOn w:val="DefaultParagraphFont"/>
    <w:link w:val="Header"/>
    <w:rsid w:val="003D15F0"/>
    <w:rPr>
      <w:rFonts w:asciiTheme="minorHAnsi" w:hAnsiTheme="minorHAnsi" w:cs="Arial"/>
    </w:rPr>
  </w:style>
  <w:style w:type="paragraph" w:styleId="Footer">
    <w:name w:val="footer"/>
    <w:basedOn w:val="Normal"/>
    <w:link w:val="FooterChar"/>
    <w:uiPriority w:val="99"/>
    <w:unhideWhenUsed/>
    <w:rsid w:val="003D15F0"/>
    <w:pPr>
      <w:tabs>
        <w:tab w:val="center" w:pos="4680"/>
        <w:tab w:val="right" w:pos="9360"/>
      </w:tabs>
    </w:pPr>
  </w:style>
  <w:style w:type="character" w:customStyle="1" w:styleId="FooterChar">
    <w:name w:val="Footer Char"/>
    <w:basedOn w:val="DefaultParagraphFont"/>
    <w:link w:val="Footer"/>
    <w:uiPriority w:val="99"/>
    <w:rsid w:val="003D15F0"/>
    <w:rPr>
      <w:rFonts w:asciiTheme="minorHAnsi" w:hAnsiTheme="minorHAnsi" w:cs="Arial"/>
    </w:rPr>
  </w:style>
  <w:style w:type="character" w:styleId="CommentReference">
    <w:name w:val="annotation reference"/>
    <w:basedOn w:val="DefaultParagraphFont"/>
    <w:semiHidden/>
    <w:unhideWhenUsed/>
    <w:rsid w:val="00691317"/>
    <w:rPr>
      <w:sz w:val="16"/>
      <w:szCs w:val="16"/>
    </w:rPr>
  </w:style>
  <w:style w:type="paragraph" w:styleId="CommentText">
    <w:name w:val="annotation text"/>
    <w:basedOn w:val="Normal"/>
    <w:link w:val="CommentTextChar"/>
    <w:semiHidden/>
    <w:unhideWhenUsed/>
    <w:rsid w:val="00691317"/>
  </w:style>
  <w:style w:type="character" w:customStyle="1" w:styleId="CommentTextChar">
    <w:name w:val="Comment Text Char"/>
    <w:basedOn w:val="DefaultParagraphFont"/>
    <w:link w:val="CommentText"/>
    <w:semiHidden/>
    <w:rsid w:val="00691317"/>
    <w:rPr>
      <w:rFonts w:asciiTheme="minorHAnsi" w:hAnsiTheme="minorHAnsi" w:cs="Arial"/>
    </w:rPr>
  </w:style>
  <w:style w:type="paragraph" w:styleId="CommentSubject">
    <w:name w:val="annotation subject"/>
    <w:basedOn w:val="CommentText"/>
    <w:next w:val="CommentText"/>
    <w:link w:val="CommentSubjectChar"/>
    <w:semiHidden/>
    <w:unhideWhenUsed/>
    <w:rsid w:val="00691317"/>
    <w:rPr>
      <w:b/>
      <w:bCs/>
    </w:rPr>
  </w:style>
  <w:style w:type="character" w:customStyle="1" w:styleId="CommentSubjectChar">
    <w:name w:val="Comment Subject Char"/>
    <w:basedOn w:val="CommentTextChar"/>
    <w:link w:val="CommentSubject"/>
    <w:semiHidden/>
    <w:rsid w:val="00691317"/>
    <w:rPr>
      <w:rFonts w:asciiTheme="minorHAnsi" w:hAnsiTheme="minorHAnsi"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tchp\AppData\Roaming\Microsoft\Templates\Table%20of%20Contents%20(Formal%20desig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able of Content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72BBCF13D0B54BA6F019D4ADC6FF0A" ma:contentTypeVersion="3" ma:contentTypeDescription="Create a new document." ma:contentTypeScope="" ma:versionID="81be4bf206c7728b0ee89401ad844863">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31B9C7-A7D9-42E2-B67F-6E1F948332BC}"/>
</file>

<file path=customXml/itemProps2.xml><?xml version="1.0" encoding="utf-8"?>
<ds:datastoreItem xmlns:ds="http://schemas.openxmlformats.org/officeDocument/2006/customXml" ds:itemID="{1279F916-5ABA-4541-813C-C999B7456EF1}">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1A15D3EA-D730-45D3-A5E7-7526D149983B}"/>
</file>

<file path=docProps/app.xml><?xml version="1.0" encoding="utf-8"?>
<Properties xmlns="http://schemas.openxmlformats.org/officeDocument/2006/extended-properties" xmlns:vt="http://schemas.openxmlformats.org/officeDocument/2006/docPropsVTypes">
  <Template>Table of Contents (Formal design)</Template>
  <TotalTime>0</TotalTime>
  <Pages>3</Pages>
  <Words>696</Words>
  <Characters>3987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Table of Contents (Formal design)</vt:lpstr>
    </vt:vector>
  </TitlesOfParts>
  <Company>Microsoft Corporation</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 (Formal design)</dc:title>
  <dc:creator>Parrish, Mitch</dc:creator>
  <cp:lastModifiedBy>Parrish, Mitch</cp:lastModifiedBy>
  <cp:revision>2</cp:revision>
  <dcterms:created xsi:type="dcterms:W3CDTF">2021-08-13T16:49:00Z</dcterms:created>
  <dcterms:modified xsi:type="dcterms:W3CDTF">2021-08-13T16:49:00Z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TC102218411033</vt:lpwstr>
  </property>
  <property fmtid="{D5CDD505-2E9C-101B-9397-08002B2CF9AE}" pid="3" name="ContentTypeId">
    <vt:lpwstr>0x0101001E72BBCF13D0B54BA6F019D4ADC6FF0A</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