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84531" w14:textId="761F369E" w:rsidR="00BA22C7" w:rsidRDefault="00E72D4D" w:rsidP="003B4A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092595" wp14:editId="2DFE2064">
            <wp:simplePos x="0" y="0"/>
            <wp:positionH relativeFrom="column">
              <wp:posOffset>1083310</wp:posOffset>
            </wp:positionH>
            <wp:positionV relativeFrom="paragraph">
              <wp:posOffset>0</wp:posOffset>
            </wp:positionV>
            <wp:extent cx="1878330" cy="87630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WorksPreApprenticeshipProg_Logo-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8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644D5" wp14:editId="4126A6F5">
                <wp:simplePos x="0" y="0"/>
                <wp:positionH relativeFrom="column">
                  <wp:posOffset>3047365</wp:posOffset>
                </wp:positionH>
                <wp:positionV relativeFrom="paragraph">
                  <wp:posOffset>339090</wp:posOffset>
                </wp:positionV>
                <wp:extent cx="1595887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887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43BB8" w14:textId="4885966A" w:rsidR="003B4ABD" w:rsidRPr="003B4ABD" w:rsidRDefault="003B4AB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B4A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[Insert Grantee</w:t>
                            </w:r>
                            <w:bookmarkStart w:id="0" w:name="_GoBack"/>
                            <w:bookmarkEnd w:id="0"/>
                            <w:r w:rsidRPr="003B4A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644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95pt;margin-top:26.7pt;width:125.65pt;height:2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" filled="f" stroked="f" strokeweight=".5pt">
                <v:textbox>
                  <w:txbxContent>
                    <w:p w14:paraId="56C43BB8" w14:textId="4885966A" w:rsidR="003B4ABD" w:rsidRPr="003B4ABD" w:rsidRDefault="003B4ABD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B4A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[Insert Grantee</w:t>
                      </w:r>
                      <w:bookmarkStart w:id="1" w:name="_GoBack"/>
                      <w:bookmarkEnd w:id="1"/>
                      <w:r w:rsidRPr="003B4A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Logo]</w:t>
                      </w:r>
                    </w:p>
                  </w:txbxContent>
                </v:textbox>
              </v:shape>
            </w:pict>
          </mc:Fallback>
        </mc:AlternateContent>
      </w:r>
      <w:r w:rsidR="00C67EDB">
        <w:rPr>
          <w:rStyle w:val="normaltextrun"/>
          <w:b/>
          <w:bCs/>
          <w:sz w:val="26"/>
          <w:szCs w:val="26"/>
        </w:rPr>
        <w:t xml:space="preserve">Sample </w:t>
      </w:r>
      <w:r w:rsidR="00BA22C7">
        <w:rPr>
          <w:rStyle w:val="normaltextrun"/>
          <w:b/>
          <w:bCs/>
          <w:sz w:val="26"/>
          <w:szCs w:val="26"/>
        </w:rPr>
        <w:t xml:space="preserve">Extenuating Circumstances Policy for </w:t>
      </w:r>
      <w:r w:rsidR="00C67EDB">
        <w:rPr>
          <w:rStyle w:val="normaltextrun"/>
          <w:b/>
          <w:bCs/>
          <w:sz w:val="26"/>
          <w:szCs w:val="26"/>
        </w:rPr>
        <w:br/>
      </w:r>
      <w:r w:rsidR="00BA22C7">
        <w:rPr>
          <w:rStyle w:val="normaltextrun"/>
          <w:b/>
          <w:bCs/>
          <w:sz w:val="26"/>
          <w:szCs w:val="26"/>
        </w:rPr>
        <w:t xml:space="preserve">Make-Up </w:t>
      </w:r>
      <w:r w:rsidR="00264CE6">
        <w:rPr>
          <w:rStyle w:val="normaltextrun"/>
          <w:b/>
          <w:bCs/>
          <w:sz w:val="26"/>
          <w:szCs w:val="26"/>
        </w:rPr>
        <w:t>Post-assessments</w:t>
      </w:r>
      <w:r w:rsidR="00BA22C7">
        <w:rPr>
          <w:rStyle w:val="normaltextrun"/>
          <w:b/>
          <w:bCs/>
          <w:sz w:val="26"/>
          <w:szCs w:val="26"/>
        </w:rPr>
        <w:t xml:space="preserve"> and Sessions</w:t>
      </w:r>
    </w:p>
    <w:p w14:paraId="250354A0" w14:textId="5BD073E0" w:rsidR="00205A12" w:rsidRPr="00D766EC" w:rsidRDefault="00BA22C7" w:rsidP="00205A12">
      <w:pPr>
        <w:rPr>
          <w:sz w:val="24"/>
          <w:szCs w:val="24"/>
        </w:rPr>
      </w:pPr>
      <w:r>
        <w:rPr>
          <w:rStyle w:val="CommentTextChar"/>
        </w:rPr>
        <w:t> </w:t>
      </w:r>
      <w:r>
        <w:rPr>
          <w:rFonts w:ascii="Calibri" w:hAnsi="Calibri" w:cs="Calibri"/>
        </w:rPr>
        <w:br/>
      </w:r>
      <w:r w:rsidR="00205A12" w:rsidRPr="00D766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What are Extenuating circumstances (EC)?</w:t>
      </w:r>
    </w:p>
    <w:p w14:paraId="0BD24037" w14:textId="7691F3E2" w:rsidR="00205A12" w:rsidRPr="00D766EC" w:rsidRDefault="00205A12" w:rsidP="00205A12">
      <w:pPr>
        <w:spacing w:line="240" w:lineRule="auto"/>
        <w:rPr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Extenuating circumstances (EC) are circumstances that are unavoidable, unexpected and beyond a participant’s control. It may have a direct, substantial, and negative impact on the ability to undertake or complete an exam or attend a scheduled instruction session. Extenuating circumstances are usually health-related or serious personal or family situations such as a serious illness or the death of a close relative.</w:t>
      </w:r>
    </w:p>
    <w:p w14:paraId="1BF63967" w14:textId="77777777" w:rsidR="00205A12" w:rsidRPr="00D766EC" w:rsidRDefault="00205A12" w:rsidP="00205A12">
      <w:pPr>
        <w:spacing w:line="240" w:lineRule="auto"/>
        <w:rPr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What may be accepted as EC?</w:t>
      </w:r>
    </w:p>
    <w:p w14:paraId="5004D977" w14:textId="77777777" w:rsidR="00205A12" w:rsidRPr="00D766EC" w:rsidRDefault="00205A12" w:rsidP="00205A12">
      <w:pPr>
        <w:spacing w:line="240" w:lineRule="auto"/>
        <w:rPr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The basic principle of EC is ‘beyond the control of participant’. Reasons such as minor illness, family event, travel plan, employment responsibility, or transportation difficulty will not normally be accepted.</w:t>
      </w:r>
    </w:p>
    <w:p w14:paraId="65179B25" w14:textId="77777777" w:rsidR="00205A12" w:rsidRPr="00D766EC" w:rsidRDefault="00205A12" w:rsidP="00205A12">
      <w:pPr>
        <w:spacing w:line="240" w:lineRule="auto"/>
        <w:rPr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Some examples that may be accepted:</w:t>
      </w:r>
    </w:p>
    <w:p w14:paraId="55A7D061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Acute illness or injury on the day of or during the examination, including COVID-19</w:t>
      </w:r>
    </w:p>
    <w:p w14:paraId="21F1EF55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The death or serious illness of a close family member or dependent</w:t>
      </w:r>
    </w:p>
    <w:p w14:paraId="59775E67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Suddenly worsening of a long- term health condition</w:t>
      </w:r>
    </w:p>
    <w:p w14:paraId="536D7D0B" w14:textId="1FFE8875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Extended illness or injury that lasts for more than five days that is serious enough to stop you from studying, writing, or revising</w:t>
      </w:r>
    </w:p>
    <w:p w14:paraId="2A62F0DB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Serious personal injury</w:t>
      </w:r>
    </w:p>
    <w:p w14:paraId="30BEBD94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Being the victim of a serious crime</w:t>
      </w:r>
    </w:p>
    <w:p w14:paraId="207B9D33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Unavoidable and/or unforeseen transport difficulties (e.g., through natural disaster)</w:t>
      </w:r>
    </w:p>
    <w:p w14:paraId="414A7D7A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Court attendance/Jury service </w:t>
      </w:r>
    </w:p>
    <w:p w14:paraId="61BC83E4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Jury service where deferral has been refused by the court</w:t>
      </w:r>
    </w:p>
    <w:p w14:paraId="181CA21D" w14:textId="77777777" w:rsidR="00205A12" w:rsidRPr="00D766EC" w:rsidRDefault="00205A12" w:rsidP="00205A12">
      <w:pPr>
        <w:spacing w:line="240" w:lineRule="auto"/>
        <w:rPr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Examples that are unlikely to be accepted:</w:t>
      </w:r>
    </w:p>
    <w:p w14:paraId="1D83F5AC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Any reasons submitted without supporting evidence</w:t>
      </w:r>
    </w:p>
    <w:p w14:paraId="6A7497BB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Mistaking the date/time/location of the examination</w:t>
      </w:r>
    </w:p>
    <w:p w14:paraId="15EDCF61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Routine employment commitments</w:t>
      </w:r>
    </w:p>
    <w:p w14:paraId="5F398C09" w14:textId="77777777" w:rsidR="00205A12" w:rsidRPr="00D766EC" w:rsidRDefault="00205A12" w:rsidP="00205A12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66EC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 difficulties, foreseeable or planned travel disruption</w:t>
      </w:r>
    </w:p>
    <w:p w14:paraId="3DBE2045" w14:textId="266235AC" w:rsidR="000B2BDE" w:rsidRDefault="00205A12" w:rsidP="00205A12">
      <w:pPr>
        <w:pStyle w:val="paragraph"/>
        <w:spacing w:before="0" w:beforeAutospacing="0" w:after="0" w:afterAutospacing="0"/>
        <w:textAlignment w:val="baseline"/>
        <w:rPr>
          <w:color w:val="222222"/>
        </w:rPr>
      </w:pPr>
      <w:r w:rsidRPr="00D766EC">
        <w:rPr>
          <w:color w:val="222222"/>
        </w:rPr>
        <w:t>Expected due date (candidates who are pregnant can seek special arrangements by submitting a request to the instructor)</w:t>
      </w:r>
    </w:p>
    <w:p w14:paraId="20B1C168" w14:textId="5E5575EA" w:rsidR="00D766EC" w:rsidRDefault="00D766EC" w:rsidP="00205A12">
      <w:pPr>
        <w:pStyle w:val="paragraph"/>
        <w:spacing w:before="0" w:beforeAutospacing="0" w:after="0" w:afterAutospacing="0"/>
        <w:textAlignment w:val="baseline"/>
        <w:rPr>
          <w:color w:val="222222"/>
        </w:rPr>
      </w:pPr>
    </w:p>
    <w:p w14:paraId="0F99889F" w14:textId="776F4544" w:rsidR="00D766EC" w:rsidRPr="00D766EC" w:rsidRDefault="00D766EC" w:rsidP="00205A12">
      <w:pPr>
        <w:pStyle w:val="paragraph"/>
        <w:spacing w:before="0" w:beforeAutospacing="0" w:after="0" w:afterAutospacing="0"/>
        <w:textAlignment w:val="baseline"/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12CB4" wp14:editId="2D231B69">
                <wp:simplePos x="0" y="0"/>
                <wp:positionH relativeFrom="column">
                  <wp:posOffset>-612476</wp:posOffset>
                </wp:positionH>
                <wp:positionV relativeFrom="paragraph">
                  <wp:posOffset>992038</wp:posOffset>
                </wp:positionV>
                <wp:extent cx="7427343" cy="646886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7343" cy="646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B03D9" w14:textId="77777777" w:rsidR="00D766EC" w:rsidRPr="00D766EC" w:rsidRDefault="00D766EC" w:rsidP="00D766E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766E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2313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Repurposed from Royal College of Obstetricians &amp; Gynecologist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2313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s. (2022). Exams Extenuating Circumstances Policy.</w:t>
                            </w:r>
                            <w:r w:rsidRPr="00D766E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2313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https://www.rcog.org.uk/en/careers-training/mrcog-exams/exams-extenuating-circumstances-policy/</w:t>
                            </w:r>
                            <w:r w:rsidRPr="00D766EC">
                              <w:rPr>
                                <w:rFonts w:eastAsia="Times New Roman"/>
                                <w:i/>
                                <w:iCs/>
                                <w:color w:val="32313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2CB4" id="Text Box 4" o:spid="_x0000_s1028" type="#_x0000_t202" style="position:absolute;margin-left:-48.25pt;margin-top:78.1pt;width:584.85pt;height:50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" filled="f" stroked="f" strokeweight=".5pt">
                <v:textbox>
                  <w:txbxContent>
                    <w:p w14:paraId="101B03D9" w14:textId="77777777" w:rsidR="00D766EC" w:rsidRPr="00D766EC" w:rsidRDefault="00D766EC" w:rsidP="00D766EC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766EC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23130"/>
                          <w:sz w:val="20"/>
                          <w:szCs w:val="20"/>
                          <w:bdr w:val="none" w:sz="0" w:space="0" w:color="auto" w:frame="1"/>
                        </w:rPr>
                        <w:t>Repurposed from Royal College of Obstetricians &amp; Gynecologist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23130"/>
                          <w:sz w:val="20"/>
                          <w:szCs w:val="20"/>
                          <w:bdr w:val="none" w:sz="0" w:space="0" w:color="auto" w:frame="1"/>
                        </w:rPr>
                        <w:t>s. (2022). Exams Extenuating Circumstances Policy.</w:t>
                      </w:r>
                      <w:r w:rsidRPr="00D766EC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23130"/>
                          <w:sz w:val="20"/>
                          <w:szCs w:val="20"/>
                          <w:bdr w:val="none" w:sz="0" w:space="0" w:color="auto" w:frame="1"/>
                        </w:rPr>
                        <w:t xml:space="preserve"> http</w:t>
                      </w:r>
                      <w:r w:rsidRPr="00D766EC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23130"/>
                          <w:sz w:val="20"/>
                          <w:szCs w:val="20"/>
                          <w:bdr w:val="none" w:sz="0" w:space="0" w:color="auto" w:frame="1"/>
                        </w:rPr>
                        <w:t>s://www.rcog.org.uk/en/careers-training/mrcog-exams/exams-extenuating-circumstances-policy/</w:t>
                      </w:r>
                      <w:r w:rsidRPr="00D766EC">
                        <w:rPr>
                          <w:rFonts w:eastAsia="Times New Roman"/>
                          <w:i/>
                          <w:iCs/>
                          <w:color w:val="323130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66EC" w:rsidRPr="00D76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FC385" w14:textId="77777777" w:rsidR="00AA02C0" w:rsidRDefault="00AA02C0" w:rsidP="00AA02C0">
      <w:pPr>
        <w:spacing w:after="0" w:line="240" w:lineRule="auto"/>
      </w:pPr>
      <w:r>
        <w:separator/>
      </w:r>
    </w:p>
  </w:endnote>
  <w:endnote w:type="continuationSeparator" w:id="0">
    <w:p w14:paraId="7E9E88E9" w14:textId="77777777" w:rsidR="00AA02C0" w:rsidRDefault="00AA02C0" w:rsidP="00AA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758B" w14:textId="77777777" w:rsidR="00AA02C0" w:rsidRDefault="00AA0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4DA89" w14:textId="77777777" w:rsidR="00AA02C0" w:rsidRDefault="00AA0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74D19" w14:textId="77777777" w:rsidR="00AA02C0" w:rsidRDefault="00AA0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11F63" w14:textId="77777777" w:rsidR="00AA02C0" w:rsidRDefault="00AA02C0" w:rsidP="00AA02C0">
      <w:pPr>
        <w:spacing w:after="0" w:line="240" w:lineRule="auto"/>
      </w:pPr>
      <w:r>
        <w:separator/>
      </w:r>
    </w:p>
  </w:footnote>
  <w:footnote w:type="continuationSeparator" w:id="0">
    <w:p w14:paraId="3F7F489B" w14:textId="77777777" w:rsidR="00AA02C0" w:rsidRDefault="00AA02C0" w:rsidP="00AA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609B1" w14:textId="77777777" w:rsidR="00AA02C0" w:rsidRDefault="00AA0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2371" w14:textId="77777777" w:rsidR="00AA02C0" w:rsidRDefault="00AA0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3B15" w14:textId="77777777" w:rsidR="00AA02C0" w:rsidRDefault="00AA0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228C"/>
    <w:multiLevelType w:val="multilevel"/>
    <w:tmpl w:val="14E2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885721"/>
    <w:multiLevelType w:val="multilevel"/>
    <w:tmpl w:val="A25C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C80072"/>
    <w:multiLevelType w:val="hybridMultilevel"/>
    <w:tmpl w:val="FFFFFFFF"/>
    <w:lvl w:ilvl="0" w:tplc="91F257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3EC94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D866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B8D3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2007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BC2FE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EEF5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FEC0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B80B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C7"/>
    <w:rsid w:val="00064417"/>
    <w:rsid w:val="000B2BDE"/>
    <w:rsid w:val="00205A12"/>
    <w:rsid w:val="00264CE6"/>
    <w:rsid w:val="00332888"/>
    <w:rsid w:val="003B4ABD"/>
    <w:rsid w:val="00AA02C0"/>
    <w:rsid w:val="00BA22C7"/>
    <w:rsid w:val="00C67EDB"/>
    <w:rsid w:val="00D766EC"/>
    <w:rsid w:val="00E72D4D"/>
    <w:rsid w:val="00F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7EE7"/>
  <w15:chartTrackingRefBased/>
  <w15:docId w15:val="{438C5BD0-591A-49F3-8896-E659239F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22C7"/>
  </w:style>
  <w:style w:type="character" w:customStyle="1" w:styleId="eop">
    <w:name w:val="eop"/>
    <w:basedOn w:val="DefaultParagraphFont"/>
    <w:rsid w:val="00BA22C7"/>
  </w:style>
  <w:style w:type="character" w:customStyle="1" w:styleId="scxw34279292">
    <w:name w:val="scxw34279292"/>
    <w:basedOn w:val="DefaultParagraphFont"/>
    <w:rsid w:val="00BA22C7"/>
  </w:style>
  <w:style w:type="paragraph" w:styleId="Header">
    <w:name w:val="header"/>
    <w:basedOn w:val="Normal"/>
    <w:link w:val="HeaderChar"/>
    <w:uiPriority w:val="99"/>
    <w:unhideWhenUsed/>
    <w:rsid w:val="00AA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C0"/>
  </w:style>
  <w:style w:type="paragraph" w:styleId="Footer">
    <w:name w:val="footer"/>
    <w:basedOn w:val="Normal"/>
    <w:link w:val="FooterChar"/>
    <w:uiPriority w:val="99"/>
    <w:unhideWhenUsed/>
    <w:rsid w:val="00AA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C0"/>
  </w:style>
  <w:style w:type="paragraph" w:styleId="BalloonText">
    <w:name w:val="Balloon Text"/>
    <w:basedOn w:val="Normal"/>
    <w:link w:val="BalloonTextChar"/>
    <w:uiPriority w:val="99"/>
    <w:semiHidden/>
    <w:unhideWhenUsed/>
    <w:rsid w:val="002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5A12"/>
    <w:pPr>
      <w:ind w:left="720"/>
      <w:contextualSpacing/>
    </w:pPr>
    <w:rPr>
      <w:rFonts w:ascii="Calibri" w:eastAsia="Calibri" w:hAnsi="Calibri" w:cs="Calibri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05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12"/>
    <w:pPr>
      <w:spacing w:line="240" w:lineRule="auto"/>
    </w:pPr>
    <w:rPr>
      <w:rFonts w:ascii="Calibri" w:eastAsia="Calibri" w:hAnsi="Calibri" w:cs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A12"/>
    <w:rPr>
      <w:rFonts w:ascii="Calibri" w:eastAsia="Calibri" w:hAnsi="Calibri" w:cs="Calibri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D766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6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25</MainCategory>
    <Site xmlns="9352c220-c5aa-4176-b310-478a54cdcce0"/>
    <SubCategory xmlns="9352c220-c5aa-4176-b310-478a54cdcce0">56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/>
    <Description0 xmlns="9352c220-c5aa-4176-b310-478a54cdcce0">Illinois Works Extenuating Circumstances Policy for Make Up Post-assessments</Description0>
    <GradeLevel xmlns="9352c220-c5aa-4176-b310-478a54cdcce0">
      <Value>7-8 Middle School</Value>
    </GradeLevel>
  </documentManagement>
</p:properties>
</file>

<file path=customXml/itemProps1.xml><?xml version="1.0" encoding="utf-8"?>
<ds:datastoreItem xmlns:ds="http://schemas.openxmlformats.org/officeDocument/2006/customXml" ds:itemID="{3C801E3F-0024-4CCA-9B36-84ECF11E0023}"/>
</file>

<file path=customXml/itemProps2.xml><?xml version="1.0" encoding="utf-8"?>
<ds:datastoreItem xmlns:ds="http://schemas.openxmlformats.org/officeDocument/2006/customXml" ds:itemID="{DE931116-107A-4FF0-B2CE-1E84FE5D892F}"/>
</file>

<file path=customXml/itemProps3.xml><?xml version="1.0" encoding="utf-8"?>
<ds:datastoreItem xmlns:ds="http://schemas.openxmlformats.org/officeDocument/2006/customXml" ds:itemID="{28224AEB-DFAF-4365-9256-62532CFAC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Extenuating Circumstances Policy for Make Up Post-assessments</dc:title>
  <dc:subject/>
  <dc:creator>Flynn, Christine</dc:creator>
  <cp:keywords/>
  <dc:description/>
  <cp:lastModifiedBy>Flynn, Christine</cp:lastModifiedBy>
  <cp:revision>11</cp:revision>
  <cp:lastPrinted>2022-02-01T03:56:00Z</cp:lastPrinted>
  <dcterms:created xsi:type="dcterms:W3CDTF">2021-12-29T15:35:00Z</dcterms:created>
  <dcterms:modified xsi:type="dcterms:W3CDTF">2022-02-02T17:45:00Z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