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81C9C" w14:textId="76AFDC3B" w:rsidR="00946E0E" w:rsidRPr="00C17D51" w:rsidRDefault="006159AC" w:rsidP="004B1939">
      <w:pPr>
        <w:pStyle w:val="NoSpacing"/>
        <w:jc w:val="center"/>
        <w:rPr>
          <w:b/>
        </w:rPr>
      </w:pPr>
      <w:r w:rsidRPr="00C17D51">
        <w:rPr>
          <w:b/>
        </w:rPr>
        <w:t>Governor’s Guidelines</w:t>
      </w:r>
      <w:r w:rsidR="00EB4B42" w:rsidRPr="00C17D51">
        <w:rPr>
          <w:b/>
        </w:rPr>
        <w:t xml:space="preserve"> </w:t>
      </w:r>
      <w:r w:rsidR="004B1939" w:rsidRPr="00C17D51">
        <w:rPr>
          <w:b/>
        </w:rPr>
        <w:t xml:space="preserve">– </w:t>
      </w:r>
      <w:r w:rsidR="00EB4B42" w:rsidRPr="00C17D51">
        <w:rPr>
          <w:b/>
        </w:rPr>
        <w:t xml:space="preserve">Revision </w:t>
      </w:r>
      <w:r w:rsidR="0095782E" w:rsidRPr="00C17D51">
        <w:rPr>
          <w:b/>
        </w:rPr>
        <w:t>4</w:t>
      </w:r>
    </w:p>
    <w:p w14:paraId="03B16612" w14:textId="361389A8" w:rsidR="00EB4B42" w:rsidRPr="00C17D51" w:rsidRDefault="000E0272" w:rsidP="008B742D">
      <w:pPr>
        <w:pStyle w:val="NoSpacing"/>
        <w:jc w:val="center"/>
        <w:rPr>
          <w:b/>
        </w:rPr>
      </w:pPr>
      <w:r w:rsidRPr="00C17D51">
        <w:rPr>
          <w:b/>
        </w:rPr>
        <w:t>Frequently Asked Questions (FAQ)</w:t>
      </w:r>
      <w:r w:rsidR="008B742D" w:rsidRPr="00C17D51">
        <w:rPr>
          <w:b/>
        </w:rPr>
        <w:t xml:space="preserve"> </w:t>
      </w:r>
    </w:p>
    <w:p w14:paraId="363591FC" w14:textId="4254916E" w:rsidR="00643303" w:rsidRPr="00C17D51" w:rsidRDefault="00643303" w:rsidP="00643303">
      <w:pPr>
        <w:spacing w:after="0"/>
        <w:rPr>
          <w:smallCaps w:val="0"/>
        </w:rPr>
      </w:pPr>
    </w:p>
    <w:p w14:paraId="0EDB3899" w14:textId="04714577" w:rsidR="004C3973" w:rsidRPr="00C17D51" w:rsidRDefault="004C3973" w:rsidP="00164B97">
      <w:pPr>
        <w:spacing w:after="0"/>
        <w:jc w:val="both"/>
        <w:rPr>
          <w:smallCaps w:val="0"/>
        </w:rPr>
      </w:pPr>
      <w:r w:rsidRPr="00C17D51">
        <w:rPr>
          <w:smallCaps w:val="0"/>
        </w:rPr>
        <w:t xml:space="preserve">The </w:t>
      </w:r>
      <w:r w:rsidR="0093031C" w:rsidRPr="00C17D51">
        <w:rPr>
          <w:smallCaps w:val="0"/>
        </w:rPr>
        <w:t>FAQs</w:t>
      </w:r>
      <w:r w:rsidRPr="00C17D51">
        <w:rPr>
          <w:smallCaps w:val="0"/>
        </w:rPr>
        <w:t xml:space="preserve"> </w:t>
      </w:r>
      <w:r w:rsidR="0093031C" w:rsidRPr="00C17D51">
        <w:rPr>
          <w:smallCaps w:val="0"/>
        </w:rPr>
        <w:t>and suggestions below have been informed by a</w:t>
      </w:r>
      <w:r w:rsidR="0095782E" w:rsidRPr="00C17D51">
        <w:rPr>
          <w:smallCaps w:val="0"/>
        </w:rPr>
        <w:t>n</w:t>
      </w:r>
      <w:r w:rsidRPr="00C17D51">
        <w:rPr>
          <w:smallCaps w:val="0"/>
        </w:rPr>
        <w:t xml:space="preserve"> Octo</w:t>
      </w:r>
      <w:bookmarkStart w:id="0" w:name="_GoBack"/>
      <w:bookmarkEnd w:id="0"/>
      <w:r w:rsidRPr="00C17D51">
        <w:rPr>
          <w:smallCaps w:val="0"/>
        </w:rPr>
        <w:t>ber 1</w:t>
      </w:r>
      <w:r w:rsidR="00E200CE">
        <w:rPr>
          <w:smallCaps w:val="0"/>
        </w:rPr>
        <w:t>6</w:t>
      </w:r>
      <w:r w:rsidRPr="00C17D51">
        <w:rPr>
          <w:smallCaps w:val="0"/>
        </w:rPr>
        <w:t>, 201</w:t>
      </w:r>
      <w:r w:rsidR="0093031C" w:rsidRPr="00C17D51">
        <w:rPr>
          <w:smallCaps w:val="0"/>
        </w:rPr>
        <w:t>9</w:t>
      </w:r>
      <w:r w:rsidRPr="00C17D51">
        <w:rPr>
          <w:smallCaps w:val="0"/>
        </w:rPr>
        <w:t xml:space="preserve"> WIOA Wednesday Webinar introducing the draft Governor’s Guidelines – Revision </w:t>
      </w:r>
      <w:r w:rsidR="0093031C" w:rsidRPr="00C17D51">
        <w:rPr>
          <w:smallCaps w:val="0"/>
        </w:rPr>
        <w:t xml:space="preserve">4, as well as questions and suggestions received after the webinar during the process of revising the draft </w:t>
      </w:r>
      <w:r w:rsidR="00C17D51" w:rsidRPr="00C17D51">
        <w:rPr>
          <w:smallCaps w:val="0"/>
        </w:rPr>
        <w:t>revision to the Governor’s Guideline</w:t>
      </w:r>
      <w:r w:rsidR="0093031C" w:rsidRPr="00C17D51">
        <w:rPr>
          <w:smallCaps w:val="0"/>
        </w:rPr>
        <w:t>s</w:t>
      </w:r>
      <w:r w:rsidR="00C17D51" w:rsidRPr="00C17D51">
        <w:rPr>
          <w:smallCaps w:val="0"/>
        </w:rPr>
        <w:t xml:space="preserve"> and its appendices</w:t>
      </w:r>
      <w:r w:rsidRPr="00C17D51">
        <w:rPr>
          <w:smallCaps w:val="0"/>
        </w:rPr>
        <w:t xml:space="preserve">. </w:t>
      </w:r>
    </w:p>
    <w:p w14:paraId="16A9C332" w14:textId="77777777" w:rsidR="0015727C" w:rsidRPr="00C17D51" w:rsidRDefault="0015727C" w:rsidP="003424B6">
      <w:pPr>
        <w:spacing w:after="0"/>
        <w:jc w:val="both"/>
        <w:rPr>
          <w:b/>
        </w:rPr>
      </w:pPr>
    </w:p>
    <w:p w14:paraId="5DAF3DF9" w14:textId="33BBE78E" w:rsidR="00C854C2" w:rsidRPr="00C17D51" w:rsidRDefault="00C854C2" w:rsidP="00C854C2">
      <w:pPr>
        <w:pStyle w:val="ListParagraph"/>
        <w:spacing w:after="0"/>
        <w:ind w:left="0"/>
        <w:jc w:val="both"/>
        <w:rPr>
          <w:b/>
          <w:u w:val="single"/>
        </w:rPr>
      </w:pPr>
      <w:r w:rsidRPr="00C17D51">
        <w:rPr>
          <w:b/>
          <w:u w:val="single"/>
        </w:rPr>
        <w:t xml:space="preserve">MOU </w:t>
      </w:r>
      <w:r w:rsidR="00674969" w:rsidRPr="00C17D51">
        <w:rPr>
          <w:b/>
          <w:u w:val="single"/>
        </w:rPr>
        <w:t>Development</w:t>
      </w:r>
    </w:p>
    <w:p w14:paraId="694B9CB2" w14:textId="7BB7C490" w:rsidR="00C854C2" w:rsidRPr="00C17D51" w:rsidRDefault="00CC5FA7" w:rsidP="00C854C2">
      <w:pPr>
        <w:pStyle w:val="ListParagraph"/>
        <w:spacing w:after="0"/>
        <w:ind w:left="0"/>
        <w:jc w:val="both"/>
        <w:rPr>
          <w:b/>
          <w:u w:val="single"/>
        </w:rPr>
      </w:pPr>
      <w:r w:rsidRPr="00C17D51">
        <w:rPr>
          <w:b/>
          <w:u w:val="single"/>
        </w:rPr>
        <w:t>FAQs</w:t>
      </w:r>
    </w:p>
    <w:p w14:paraId="6CBFBBDB" w14:textId="7BC4B7F5" w:rsidR="0008199E" w:rsidRPr="00C17D51" w:rsidRDefault="0008199E" w:rsidP="00C873AB">
      <w:pPr>
        <w:pStyle w:val="ListParagraph"/>
        <w:spacing w:after="0"/>
        <w:ind w:left="360"/>
        <w:jc w:val="both"/>
        <w:rPr>
          <w:smallCaps w:val="0"/>
        </w:rPr>
      </w:pPr>
    </w:p>
    <w:p w14:paraId="38B93544" w14:textId="722EA7E3" w:rsidR="0008199E" w:rsidRPr="00C17D51" w:rsidRDefault="0008199E" w:rsidP="00472783">
      <w:pPr>
        <w:pStyle w:val="ListParagraph"/>
        <w:numPr>
          <w:ilvl w:val="0"/>
          <w:numId w:val="1"/>
        </w:numPr>
        <w:spacing w:after="0"/>
        <w:jc w:val="both"/>
        <w:rPr>
          <w:b/>
          <w:bCs/>
          <w:smallCaps w:val="0"/>
        </w:rPr>
      </w:pPr>
      <w:r w:rsidRPr="00C17D51">
        <w:rPr>
          <w:b/>
          <w:bCs/>
          <w:smallCaps w:val="0"/>
        </w:rPr>
        <w:t>Should non-designated service connection (access) sites be listed in Section 6: “Name and Location of All Service Locations” of the MOU?</w:t>
      </w:r>
    </w:p>
    <w:p w14:paraId="3429D0AA" w14:textId="7013DA1D" w:rsidR="0008199E" w:rsidRPr="00C17D51" w:rsidRDefault="0008199E" w:rsidP="00164B97">
      <w:pPr>
        <w:pStyle w:val="ListParagraph"/>
        <w:spacing w:after="0"/>
        <w:ind w:left="360"/>
        <w:jc w:val="both"/>
        <w:rPr>
          <w:smallCaps w:val="0"/>
        </w:rPr>
      </w:pPr>
      <w:r w:rsidRPr="00C17D51">
        <w:rPr>
          <w:smallCaps w:val="0"/>
        </w:rPr>
        <w:t xml:space="preserve">No. Non-designated connection (access) sites </w:t>
      </w:r>
      <w:r w:rsidR="001C350C" w:rsidRPr="00C17D51">
        <w:rPr>
          <w:smallCaps w:val="0"/>
        </w:rPr>
        <w:t xml:space="preserve">are </w:t>
      </w:r>
      <w:r w:rsidR="00C17D51" w:rsidRPr="00C17D51">
        <w:rPr>
          <w:smallCaps w:val="0"/>
        </w:rPr>
        <w:t xml:space="preserve">only </w:t>
      </w:r>
      <w:r w:rsidR="001C350C" w:rsidRPr="00C17D51">
        <w:rPr>
          <w:smallCaps w:val="0"/>
        </w:rPr>
        <w:t xml:space="preserve">required to be listed in the Pre-Program Year Planning Form (Appendix C to the Governor’s Guidelines – Revision 4).  </w:t>
      </w:r>
      <w:r w:rsidRPr="00C17D51">
        <w:rPr>
          <w:smallCaps w:val="0"/>
        </w:rPr>
        <w:t xml:space="preserve"> </w:t>
      </w:r>
    </w:p>
    <w:p w14:paraId="1A9D9047" w14:textId="29B4A9E5" w:rsidR="001C350C" w:rsidRPr="00C17D51" w:rsidRDefault="001C350C" w:rsidP="00164B97">
      <w:pPr>
        <w:pStyle w:val="ListParagraph"/>
        <w:spacing w:after="0"/>
        <w:ind w:left="360"/>
        <w:jc w:val="both"/>
        <w:rPr>
          <w:smallCaps w:val="0"/>
        </w:rPr>
      </w:pPr>
    </w:p>
    <w:p w14:paraId="12E66F37" w14:textId="684803E3" w:rsidR="001C350C" w:rsidRPr="00C17D51" w:rsidRDefault="001C350C" w:rsidP="00164B97">
      <w:pPr>
        <w:pStyle w:val="ListParagraph"/>
        <w:numPr>
          <w:ilvl w:val="0"/>
          <w:numId w:val="1"/>
        </w:numPr>
        <w:spacing w:after="0"/>
        <w:jc w:val="both"/>
        <w:rPr>
          <w:b/>
          <w:bCs/>
          <w:smallCaps w:val="0"/>
        </w:rPr>
      </w:pPr>
      <w:r w:rsidRPr="00C17D51">
        <w:rPr>
          <w:b/>
          <w:bCs/>
          <w:smallCaps w:val="0"/>
        </w:rPr>
        <w:t>Do physical and programmatic accessibility apply to all service locations or just designated service sites?</w:t>
      </w:r>
    </w:p>
    <w:p w14:paraId="2DCA0A49" w14:textId="5346E3DC" w:rsidR="001C350C" w:rsidRPr="00C17D51" w:rsidRDefault="001C350C" w:rsidP="00164B97">
      <w:pPr>
        <w:pStyle w:val="Default"/>
        <w:ind w:left="360"/>
        <w:jc w:val="both"/>
        <w:rPr>
          <w:smallCaps w:val="0"/>
          <w:color w:val="auto"/>
        </w:rPr>
      </w:pPr>
      <w:r w:rsidRPr="00C17D51">
        <w:rPr>
          <w:smallCaps w:val="0"/>
        </w:rPr>
        <w:t xml:space="preserve">Physical and programmatic accessibility requirements under WIOA </w:t>
      </w:r>
      <w:r w:rsidRPr="00C17D51">
        <w:rPr>
          <w:smallCaps w:val="0"/>
          <w:color w:val="auto"/>
        </w:rPr>
        <w:t xml:space="preserve">((Sec. 121 (c)(2)(iv)) </w:t>
      </w:r>
      <w:r w:rsidR="00194C16" w:rsidRPr="00C17D51">
        <w:rPr>
          <w:smallCaps w:val="0"/>
          <w:color w:val="auto"/>
        </w:rPr>
        <w:t xml:space="preserve">do apply to all service locations, regardless of designation status. The MOU only concerns designated comprehensive one-stop centers, affiliate sites and specialized centers; therefore, only the physical and programmatic accessibility of designated service locations must be described in the MOU narrative.  </w:t>
      </w:r>
    </w:p>
    <w:p w14:paraId="6F442580" w14:textId="245F9151" w:rsidR="0008199E" w:rsidRPr="00C17D51" w:rsidRDefault="0008199E" w:rsidP="00164B97">
      <w:pPr>
        <w:pStyle w:val="ListParagraph"/>
        <w:spacing w:after="0"/>
        <w:ind w:left="360"/>
        <w:jc w:val="both"/>
        <w:rPr>
          <w:smallCaps w:val="0"/>
        </w:rPr>
      </w:pPr>
    </w:p>
    <w:p w14:paraId="0156A6F9" w14:textId="702A2F9B" w:rsidR="0008199E" w:rsidRPr="00C17D51" w:rsidRDefault="0008199E" w:rsidP="00164B97">
      <w:pPr>
        <w:pStyle w:val="ListParagraph"/>
        <w:numPr>
          <w:ilvl w:val="0"/>
          <w:numId w:val="1"/>
        </w:numPr>
        <w:spacing w:after="0"/>
        <w:jc w:val="both"/>
        <w:rPr>
          <w:b/>
          <w:bCs/>
          <w:smallCaps w:val="0"/>
        </w:rPr>
      </w:pPr>
      <w:r w:rsidRPr="00C17D51">
        <w:rPr>
          <w:b/>
          <w:bCs/>
          <w:smallCaps w:val="0"/>
        </w:rPr>
        <w:t>Under what circumstances are abbreviations and acronyms prohibited in the MOU?</w:t>
      </w:r>
    </w:p>
    <w:p w14:paraId="1D7143FF" w14:textId="6244F359" w:rsidR="0008199E" w:rsidRPr="00C17D51" w:rsidRDefault="0008199E" w:rsidP="00164B97">
      <w:pPr>
        <w:pStyle w:val="ListParagraph"/>
        <w:spacing w:after="0"/>
        <w:ind w:left="360"/>
        <w:jc w:val="both"/>
        <w:rPr>
          <w:smallCaps w:val="0"/>
        </w:rPr>
      </w:pPr>
      <w:r w:rsidRPr="00C17D51">
        <w:rPr>
          <w:smallCaps w:val="0"/>
        </w:rPr>
        <w:t>The use of acronyms and abbreviations is prohibited on a</w:t>
      </w:r>
      <w:r w:rsidR="00C17D51">
        <w:rPr>
          <w:smallCaps w:val="0"/>
        </w:rPr>
        <w:t>ll</w:t>
      </w:r>
      <w:r w:rsidRPr="00C17D51">
        <w:rPr>
          <w:smallCaps w:val="0"/>
        </w:rPr>
        <w:t xml:space="preserve"> signature page</w:t>
      </w:r>
      <w:r w:rsidR="00C17D51">
        <w:rPr>
          <w:smallCaps w:val="0"/>
        </w:rPr>
        <w:t>s</w:t>
      </w:r>
      <w:r w:rsidR="0052488E">
        <w:rPr>
          <w:smallCaps w:val="0"/>
        </w:rPr>
        <w:t xml:space="preserve">, as required by the Office of the Illinois Comptroller for purposes of using the MOU as a contract </w:t>
      </w:r>
      <w:r w:rsidR="00D07A73">
        <w:rPr>
          <w:smallCaps w:val="0"/>
        </w:rPr>
        <w:t xml:space="preserve">for </w:t>
      </w:r>
      <w:r w:rsidR="0052488E">
        <w:rPr>
          <w:smallCaps w:val="0"/>
        </w:rPr>
        <w:t>payment</w:t>
      </w:r>
      <w:r w:rsidR="00C17D51">
        <w:rPr>
          <w:smallCaps w:val="0"/>
        </w:rPr>
        <w:t xml:space="preserve">. </w:t>
      </w:r>
      <w:r w:rsidRPr="00C17D51">
        <w:rPr>
          <w:smallCaps w:val="0"/>
        </w:rPr>
        <w:t xml:space="preserve">Please ensure that any abbreviations or acronyms used in any other section of the MOU, such as Section 1: “Parties to the MOU,” are accurate and up to date. </w:t>
      </w:r>
    </w:p>
    <w:p w14:paraId="5BAA19CF" w14:textId="27ACFF0E" w:rsidR="00194C16" w:rsidRPr="00C17D51" w:rsidRDefault="00194C16" w:rsidP="00164B97">
      <w:pPr>
        <w:pStyle w:val="ListParagraph"/>
        <w:spacing w:after="0"/>
        <w:ind w:left="360"/>
        <w:jc w:val="both"/>
        <w:rPr>
          <w:smallCaps w:val="0"/>
        </w:rPr>
      </w:pPr>
    </w:p>
    <w:p w14:paraId="32C1824B" w14:textId="7F41E770" w:rsidR="00194C16" w:rsidRPr="00C17D51" w:rsidRDefault="00CC5FA7" w:rsidP="00164B97">
      <w:pPr>
        <w:pStyle w:val="ListParagraph"/>
        <w:numPr>
          <w:ilvl w:val="0"/>
          <w:numId w:val="1"/>
        </w:numPr>
        <w:spacing w:after="0"/>
        <w:jc w:val="both"/>
        <w:rPr>
          <w:b/>
          <w:bCs/>
          <w:smallCaps w:val="0"/>
        </w:rPr>
      </w:pPr>
      <w:r w:rsidRPr="00C17D51">
        <w:rPr>
          <w:b/>
          <w:bCs/>
          <w:smallCaps w:val="0"/>
        </w:rPr>
        <w:t>What are the</w:t>
      </w:r>
      <w:r w:rsidR="00194C16" w:rsidRPr="00C17D51">
        <w:rPr>
          <w:b/>
          <w:bCs/>
          <w:smallCaps w:val="0"/>
        </w:rPr>
        <w:t xml:space="preserve"> proscribed functions the one-stop operator may not perform?</w:t>
      </w:r>
    </w:p>
    <w:p w14:paraId="2CE65606" w14:textId="54094480" w:rsidR="00194C16" w:rsidRPr="00C17D51" w:rsidRDefault="00FE6951" w:rsidP="00164B97">
      <w:pPr>
        <w:pStyle w:val="ListParagraph"/>
        <w:spacing w:after="0"/>
        <w:ind w:left="360"/>
        <w:jc w:val="both"/>
        <w:rPr>
          <w:smallCaps w:val="0"/>
        </w:rPr>
      </w:pPr>
      <w:r w:rsidRPr="00C17D51">
        <w:rPr>
          <w:smallCaps w:val="0"/>
        </w:rPr>
        <w:t>The list of proscribed functions i</w:t>
      </w:r>
      <w:r w:rsidR="00C17D51" w:rsidRPr="00C17D51">
        <w:rPr>
          <w:smallCaps w:val="0"/>
        </w:rPr>
        <w:t>s</w:t>
      </w:r>
      <w:r w:rsidRPr="00C17D51">
        <w:rPr>
          <w:smallCaps w:val="0"/>
        </w:rPr>
        <w:t xml:space="preserve"> included as part of Section 10: “Procurement of One-Stop Operator” of the MOU Template</w:t>
      </w:r>
      <w:r w:rsidR="0052488E">
        <w:rPr>
          <w:smallCaps w:val="0"/>
        </w:rPr>
        <w:t xml:space="preserve"> and 20 CFR </w:t>
      </w:r>
      <w:r w:rsidR="0052488E" w:rsidRPr="0052488E">
        <w:rPr>
          <w:smallCaps w:val="0"/>
        </w:rPr>
        <w:t>§678.620</w:t>
      </w:r>
      <w:r w:rsidRPr="00C17D51">
        <w:rPr>
          <w:smallCaps w:val="0"/>
        </w:rPr>
        <w:t xml:space="preserve">. </w:t>
      </w:r>
      <w:r w:rsidR="00D07A73">
        <w:rPr>
          <w:smallCaps w:val="0"/>
        </w:rPr>
        <w:t>T</w:t>
      </w:r>
      <w:r w:rsidRPr="00C17D51">
        <w:rPr>
          <w:smallCaps w:val="0"/>
        </w:rPr>
        <w:t>he local area must affirm that none of the proscribed functions will be performed</w:t>
      </w:r>
      <w:r w:rsidR="00D07A73">
        <w:rPr>
          <w:smallCaps w:val="0"/>
        </w:rPr>
        <w:t xml:space="preserve"> by marking the checkboxes</w:t>
      </w:r>
      <w:r w:rsidRPr="00C17D51">
        <w:rPr>
          <w:smallCaps w:val="0"/>
        </w:rPr>
        <w:t xml:space="preserve">. </w:t>
      </w:r>
    </w:p>
    <w:p w14:paraId="6291796C" w14:textId="01EC0951" w:rsidR="00B0252A" w:rsidRPr="00C17D51" w:rsidRDefault="00B0252A" w:rsidP="00164B97">
      <w:pPr>
        <w:pStyle w:val="ListParagraph"/>
        <w:spacing w:after="0"/>
        <w:ind w:left="360"/>
        <w:jc w:val="both"/>
        <w:rPr>
          <w:smallCaps w:val="0"/>
        </w:rPr>
      </w:pPr>
    </w:p>
    <w:p w14:paraId="3A8F2009" w14:textId="17293865" w:rsidR="00674969" w:rsidRPr="00C17D51" w:rsidRDefault="00674969" w:rsidP="00674969">
      <w:pPr>
        <w:pStyle w:val="ListParagraph"/>
        <w:numPr>
          <w:ilvl w:val="0"/>
          <w:numId w:val="1"/>
        </w:numPr>
        <w:spacing w:after="0"/>
        <w:jc w:val="both"/>
        <w:rPr>
          <w:b/>
          <w:bCs/>
          <w:smallCaps w:val="0"/>
        </w:rPr>
      </w:pPr>
      <w:r w:rsidRPr="00C17D51">
        <w:rPr>
          <w:b/>
          <w:bCs/>
          <w:smallCaps w:val="0"/>
        </w:rPr>
        <w:t xml:space="preserve">Can only minor, technical changes be made to an MOU each program year an MOU Amendment is </w:t>
      </w:r>
      <w:r w:rsidR="0095782E" w:rsidRPr="00C17D51">
        <w:rPr>
          <w:b/>
          <w:bCs/>
          <w:smallCaps w:val="0"/>
        </w:rPr>
        <w:t>submitted</w:t>
      </w:r>
      <w:r w:rsidR="00C17D51">
        <w:rPr>
          <w:b/>
          <w:bCs/>
          <w:smallCaps w:val="0"/>
        </w:rPr>
        <w:t xml:space="preserve"> to the State for approval</w:t>
      </w:r>
      <w:r w:rsidR="0095782E" w:rsidRPr="00C17D51">
        <w:rPr>
          <w:b/>
          <w:bCs/>
          <w:smallCaps w:val="0"/>
        </w:rPr>
        <w:t xml:space="preserve">, or can substantive changes be </w:t>
      </w:r>
      <w:r w:rsidR="00D07A73">
        <w:rPr>
          <w:b/>
          <w:bCs/>
          <w:smallCaps w:val="0"/>
        </w:rPr>
        <w:t>submitted</w:t>
      </w:r>
      <w:r w:rsidR="0095782E" w:rsidRPr="00C17D51">
        <w:rPr>
          <w:b/>
          <w:bCs/>
          <w:smallCaps w:val="0"/>
        </w:rPr>
        <w:t xml:space="preserve"> for approval</w:t>
      </w:r>
      <w:r w:rsidRPr="00C17D51">
        <w:rPr>
          <w:b/>
          <w:bCs/>
          <w:smallCaps w:val="0"/>
        </w:rPr>
        <w:t>?</w:t>
      </w:r>
    </w:p>
    <w:p w14:paraId="6B1992FD" w14:textId="5C9DE2AD" w:rsidR="00674969" w:rsidRPr="00C17D51" w:rsidRDefault="0095782E" w:rsidP="00674969">
      <w:pPr>
        <w:pStyle w:val="ListParagraph"/>
        <w:spacing w:after="0"/>
        <w:ind w:left="360"/>
        <w:jc w:val="both"/>
        <w:rPr>
          <w:smallCaps w:val="0"/>
        </w:rPr>
      </w:pPr>
      <w:r w:rsidRPr="00C17D51">
        <w:rPr>
          <w:smallCaps w:val="0"/>
        </w:rPr>
        <w:t xml:space="preserve">On each occasion that an MOU or MOU Amendment and one-stop budget are submitted, the documents are reviewed in their entirety to ensure that all aspects and sections of the submittal </w:t>
      </w:r>
      <w:r w:rsidR="009C30BD">
        <w:rPr>
          <w:smallCaps w:val="0"/>
        </w:rPr>
        <w:t xml:space="preserve">comply </w:t>
      </w:r>
      <w:r w:rsidRPr="00C17D51">
        <w:rPr>
          <w:smallCaps w:val="0"/>
        </w:rPr>
        <w:t xml:space="preserve">with State guidance and WIOA statute. Any </w:t>
      </w:r>
      <w:r w:rsidR="009C30BD">
        <w:rPr>
          <w:smallCaps w:val="0"/>
        </w:rPr>
        <w:t xml:space="preserve">required </w:t>
      </w:r>
      <w:r w:rsidRPr="00C17D51">
        <w:rPr>
          <w:smallCaps w:val="0"/>
        </w:rPr>
        <w:t xml:space="preserve">revisions to the MOU, MOU Amendment or one-stop budget </w:t>
      </w:r>
      <w:r w:rsidR="00CC714B">
        <w:rPr>
          <w:smallCaps w:val="0"/>
        </w:rPr>
        <w:t xml:space="preserve">to incorporate </w:t>
      </w:r>
      <w:r w:rsidR="00D07A73">
        <w:rPr>
          <w:smallCaps w:val="0"/>
        </w:rPr>
        <w:t xml:space="preserve">required revisions </w:t>
      </w:r>
      <w:r w:rsidRPr="00C17D51">
        <w:rPr>
          <w:smallCaps w:val="0"/>
        </w:rPr>
        <w:t xml:space="preserve">for compliance </w:t>
      </w:r>
      <w:r w:rsidR="009C30BD">
        <w:rPr>
          <w:smallCaps w:val="0"/>
        </w:rPr>
        <w:t xml:space="preserve">purposes must </w:t>
      </w:r>
      <w:r w:rsidRPr="00C17D51">
        <w:rPr>
          <w:smallCaps w:val="0"/>
        </w:rPr>
        <w:t>be performed by the local area before approval is granted</w:t>
      </w:r>
      <w:r w:rsidR="00E200CE">
        <w:rPr>
          <w:smallCaps w:val="0"/>
        </w:rPr>
        <w:t xml:space="preserve"> (</w:t>
      </w:r>
      <w:r w:rsidR="00E200CE" w:rsidRPr="0052488E">
        <w:rPr>
          <w:smallCaps w:val="0"/>
        </w:rPr>
        <w:t>§</w:t>
      </w:r>
      <w:r w:rsidR="00E200CE" w:rsidRPr="00E200CE">
        <w:rPr>
          <w:smallCaps w:val="0"/>
        </w:rPr>
        <w:t>678.505</w:t>
      </w:r>
      <w:r w:rsidR="00E200CE">
        <w:rPr>
          <w:smallCaps w:val="0"/>
        </w:rPr>
        <w:t>)</w:t>
      </w:r>
      <w:r w:rsidRPr="00C17D51">
        <w:rPr>
          <w:smallCaps w:val="0"/>
        </w:rPr>
        <w:t xml:space="preserve">. </w:t>
      </w:r>
    </w:p>
    <w:p w14:paraId="0DC57E82" w14:textId="6C930B8E" w:rsidR="00674969" w:rsidRPr="00C17D51" w:rsidRDefault="00674969" w:rsidP="00164B97">
      <w:pPr>
        <w:pStyle w:val="ListParagraph"/>
        <w:spacing w:after="0"/>
        <w:ind w:left="360"/>
        <w:jc w:val="both"/>
        <w:rPr>
          <w:smallCaps w:val="0"/>
        </w:rPr>
      </w:pPr>
    </w:p>
    <w:p w14:paraId="68DCF44D" w14:textId="30CF1166" w:rsidR="00674969" w:rsidRPr="00C17D51" w:rsidRDefault="00674969" w:rsidP="00674969">
      <w:pPr>
        <w:pStyle w:val="ListParagraph"/>
        <w:numPr>
          <w:ilvl w:val="0"/>
          <w:numId w:val="1"/>
        </w:numPr>
        <w:jc w:val="both"/>
        <w:rPr>
          <w:b/>
          <w:bCs/>
          <w:smallCaps w:val="0"/>
        </w:rPr>
      </w:pPr>
      <w:r w:rsidRPr="00C17D51">
        <w:rPr>
          <w:b/>
          <w:bCs/>
          <w:smallCaps w:val="0"/>
        </w:rPr>
        <w:lastRenderedPageBreak/>
        <w:t xml:space="preserve">When revising the MOU for a specific program year after its initial submission to the State, </w:t>
      </w:r>
      <w:r w:rsidR="00D07A73">
        <w:rPr>
          <w:b/>
          <w:bCs/>
          <w:smallCaps w:val="0"/>
        </w:rPr>
        <w:t>does the submittal of the revised MOU require new signatures from required partners</w:t>
      </w:r>
      <w:r w:rsidRPr="00C17D51">
        <w:rPr>
          <w:b/>
          <w:bCs/>
          <w:smallCaps w:val="0"/>
        </w:rPr>
        <w:t>?</w:t>
      </w:r>
    </w:p>
    <w:p w14:paraId="02331DB8" w14:textId="77777777" w:rsidR="00374F06" w:rsidRPr="00C17D51" w:rsidRDefault="00674969" w:rsidP="00674969">
      <w:pPr>
        <w:pStyle w:val="ListParagraph"/>
        <w:ind w:left="360"/>
        <w:jc w:val="both"/>
        <w:rPr>
          <w:smallCaps w:val="0"/>
        </w:rPr>
      </w:pPr>
      <w:r w:rsidRPr="00C17D51">
        <w:rPr>
          <w:smallCaps w:val="0"/>
        </w:rPr>
        <w:t>No. The letter from the LWIB Chair to the individual designated by the Governor (included as Appendix L to the Governor’s Guidelines – Revision 4) affirms that all parties to the MOU and the LWIB have agreed to the revisions included in the submitted revised MOU.</w:t>
      </w:r>
      <w:r w:rsidR="00374F06" w:rsidRPr="00C17D51">
        <w:rPr>
          <w:smallCaps w:val="0"/>
        </w:rPr>
        <w:t xml:space="preserve"> This affirmation is important as the MOU and, in some cases, the one-stop operating budget, has undergone changes since the parties to the MOU last reviewed it.</w:t>
      </w:r>
      <w:r w:rsidRPr="00C17D51">
        <w:rPr>
          <w:smallCaps w:val="0"/>
        </w:rPr>
        <w:t xml:space="preserve"> </w:t>
      </w:r>
    </w:p>
    <w:p w14:paraId="0C811047" w14:textId="77777777" w:rsidR="00374F06" w:rsidRPr="00C17D51" w:rsidRDefault="00374F06" w:rsidP="00674969">
      <w:pPr>
        <w:pStyle w:val="ListParagraph"/>
        <w:ind w:left="360"/>
        <w:jc w:val="both"/>
        <w:rPr>
          <w:smallCaps w:val="0"/>
        </w:rPr>
      </w:pPr>
    </w:p>
    <w:p w14:paraId="7F95149F" w14:textId="07778192" w:rsidR="00674969" w:rsidRPr="00C17D51" w:rsidRDefault="00674969" w:rsidP="00674969">
      <w:pPr>
        <w:pStyle w:val="ListParagraph"/>
        <w:ind w:left="360"/>
        <w:jc w:val="both"/>
        <w:rPr>
          <w:smallCaps w:val="0"/>
        </w:rPr>
      </w:pPr>
      <w:r w:rsidRPr="00C17D51">
        <w:rPr>
          <w:smallCaps w:val="0"/>
        </w:rPr>
        <w:t>It is encouraged that this affirmation is received through an in-person meeting, but the method through which the local area ultimately gathers this affirmation is determined at the local level (i.e., in-person meeting, phone, email, etc.). It is</w:t>
      </w:r>
      <w:r w:rsidR="00374F06" w:rsidRPr="00C17D51">
        <w:rPr>
          <w:smallCaps w:val="0"/>
        </w:rPr>
        <w:t xml:space="preserve"> only</w:t>
      </w:r>
      <w:r w:rsidRPr="00C17D51">
        <w:rPr>
          <w:smallCaps w:val="0"/>
        </w:rPr>
        <w:t xml:space="preserve"> required that the letter from the LWIB Chair to the individual designated by the Governor </w:t>
      </w:r>
      <w:r w:rsidR="00374F06" w:rsidRPr="00C17D51">
        <w:rPr>
          <w:smallCaps w:val="0"/>
        </w:rPr>
        <w:t xml:space="preserve">(affirming that the LWIB and all parties to the MOU affirm the required revisions made) </w:t>
      </w:r>
      <w:r w:rsidRPr="00C17D51">
        <w:rPr>
          <w:smallCaps w:val="0"/>
        </w:rPr>
        <w:t xml:space="preserve">be submitted within 5 days of the LWIB meeting immediately following the submission of revisions. </w:t>
      </w:r>
    </w:p>
    <w:p w14:paraId="0EB26D06" w14:textId="6E0D2E62" w:rsidR="0083485E" w:rsidRPr="00C17D51" w:rsidRDefault="0083485E" w:rsidP="00674969">
      <w:pPr>
        <w:pStyle w:val="ListParagraph"/>
        <w:ind w:left="360"/>
        <w:jc w:val="both"/>
        <w:rPr>
          <w:smallCaps w:val="0"/>
        </w:rPr>
      </w:pPr>
    </w:p>
    <w:p w14:paraId="0AB95014" w14:textId="50189193" w:rsidR="0083485E" w:rsidRPr="00C17D51" w:rsidRDefault="0083485E" w:rsidP="00674969">
      <w:pPr>
        <w:pStyle w:val="ListParagraph"/>
        <w:ind w:left="360"/>
        <w:jc w:val="both"/>
        <w:rPr>
          <w:smallCaps w:val="0"/>
        </w:rPr>
      </w:pPr>
      <w:r w:rsidRPr="00C17D51">
        <w:rPr>
          <w:smallCaps w:val="0"/>
        </w:rPr>
        <w:t xml:space="preserve">If a local area is in need of technical assistance in completing this process, please contact Mike Baker at </w:t>
      </w:r>
      <w:hyperlink r:id="rId7" w:history="1">
        <w:r w:rsidRPr="00C17D51">
          <w:rPr>
            <w:rStyle w:val="Hyperlink"/>
            <w:smallCaps w:val="0"/>
          </w:rPr>
          <w:t>Michael.baker@illinois.gov</w:t>
        </w:r>
      </w:hyperlink>
      <w:r w:rsidRPr="00C17D51">
        <w:rPr>
          <w:smallCaps w:val="0"/>
        </w:rPr>
        <w:t xml:space="preserve"> or Cameron Sweatman at </w:t>
      </w:r>
      <w:hyperlink r:id="rId8" w:history="1">
        <w:r w:rsidRPr="00C17D51">
          <w:rPr>
            <w:rStyle w:val="Hyperlink"/>
            <w:smallCaps w:val="0"/>
          </w:rPr>
          <w:t>camerons@kebcpa.com</w:t>
        </w:r>
      </w:hyperlink>
      <w:r w:rsidRPr="00C17D51">
        <w:rPr>
          <w:smallCaps w:val="0"/>
        </w:rPr>
        <w:t>.</w:t>
      </w:r>
    </w:p>
    <w:p w14:paraId="7BEFD9E8" w14:textId="77777777" w:rsidR="0083485E" w:rsidRPr="00C17D51" w:rsidRDefault="0083485E" w:rsidP="00674969">
      <w:pPr>
        <w:pStyle w:val="ListParagraph"/>
        <w:ind w:left="360"/>
        <w:jc w:val="both"/>
        <w:rPr>
          <w:smallCaps w:val="0"/>
        </w:rPr>
      </w:pPr>
    </w:p>
    <w:p w14:paraId="6B92A6E7" w14:textId="20C981DF" w:rsidR="00374F06" w:rsidRPr="00C17D51" w:rsidRDefault="00374F06" w:rsidP="00374F06">
      <w:pPr>
        <w:pStyle w:val="ListParagraph"/>
        <w:numPr>
          <w:ilvl w:val="0"/>
          <w:numId w:val="1"/>
        </w:numPr>
        <w:jc w:val="both"/>
        <w:rPr>
          <w:b/>
          <w:bCs/>
          <w:smallCaps w:val="0"/>
        </w:rPr>
      </w:pPr>
      <w:r w:rsidRPr="00C17D51">
        <w:rPr>
          <w:b/>
          <w:bCs/>
          <w:smallCaps w:val="0"/>
        </w:rPr>
        <w:t>When are Pre-Program Year Planning Forms due to be turned into the State?</w:t>
      </w:r>
    </w:p>
    <w:p w14:paraId="6D88059A" w14:textId="0B0BF337" w:rsidR="00374F06" w:rsidRPr="00C17D51" w:rsidRDefault="00374F06" w:rsidP="00374F06">
      <w:pPr>
        <w:pStyle w:val="ListParagraph"/>
        <w:ind w:left="360"/>
        <w:jc w:val="both"/>
        <w:rPr>
          <w:smallCaps w:val="0"/>
        </w:rPr>
      </w:pPr>
      <w:r w:rsidRPr="00C17D51">
        <w:rPr>
          <w:smallCaps w:val="0"/>
        </w:rPr>
        <w:t xml:space="preserve">Pre-Program Year Planning Forms </w:t>
      </w:r>
      <w:r w:rsidR="00824439">
        <w:rPr>
          <w:smallCaps w:val="0"/>
        </w:rPr>
        <w:t xml:space="preserve">for the upcoming program year </w:t>
      </w:r>
      <w:r w:rsidRPr="00C17D51">
        <w:rPr>
          <w:smallCaps w:val="0"/>
        </w:rPr>
        <w:t xml:space="preserve">are to be completed and submitted to </w:t>
      </w:r>
      <w:hyperlink r:id="rId9" w:history="1">
        <w:r w:rsidRPr="00C17D51">
          <w:rPr>
            <w:rStyle w:val="Hyperlink"/>
            <w:smallCaps w:val="0"/>
          </w:rPr>
          <w:t>CWD-wioaplan@ad.siu.edu</w:t>
        </w:r>
      </w:hyperlink>
      <w:r w:rsidRPr="00C17D51">
        <w:rPr>
          <w:smallCaps w:val="0"/>
        </w:rPr>
        <w:t xml:space="preserve"> by December 31</w:t>
      </w:r>
      <w:r w:rsidR="00824439">
        <w:rPr>
          <w:smallCaps w:val="0"/>
        </w:rPr>
        <w:t xml:space="preserve"> </w:t>
      </w:r>
      <w:r w:rsidR="009C30BD">
        <w:rPr>
          <w:smallCaps w:val="0"/>
        </w:rPr>
        <w:t xml:space="preserve">of </w:t>
      </w:r>
      <w:r w:rsidR="00824439">
        <w:rPr>
          <w:smallCaps w:val="0"/>
        </w:rPr>
        <w:t>each year</w:t>
      </w:r>
      <w:r w:rsidRPr="00C17D51">
        <w:rPr>
          <w:smallCaps w:val="0"/>
        </w:rPr>
        <w:t>.</w:t>
      </w:r>
    </w:p>
    <w:p w14:paraId="21AE0806" w14:textId="2C769058" w:rsidR="00374F06" w:rsidRPr="00C17D51" w:rsidRDefault="00374F06" w:rsidP="00374F06">
      <w:pPr>
        <w:pStyle w:val="ListParagraph"/>
        <w:ind w:left="360"/>
        <w:jc w:val="both"/>
        <w:rPr>
          <w:smallCaps w:val="0"/>
        </w:rPr>
      </w:pPr>
    </w:p>
    <w:p w14:paraId="69A272C3" w14:textId="3E6A0373" w:rsidR="00716C51" w:rsidRPr="00C17D51" w:rsidRDefault="00716C51" w:rsidP="00164B97">
      <w:pPr>
        <w:spacing w:after="0"/>
        <w:jc w:val="both"/>
        <w:rPr>
          <w:b/>
          <w:bCs/>
          <w:u w:val="single"/>
        </w:rPr>
      </w:pPr>
      <w:r w:rsidRPr="00C17D51">
        <w:rPr>
          <w:b/>
          <w:bCs/>
          <w:u w:val="single"/>
        </w:rPr>
        <w:t>MOU Negotiations</w:t>
      </w:r>
    </w:p>
    <w:p w14:paraId="04133516" w14:textId="707DDF49" w:rsidR="00716C51" w:rsidRPr="00C17D51" w:rsidRDefault="00CC5FA7" w:rsidP="00164B97">
      <w:pPr>
        <w:spacing w:after="0"/>
        <w:jc w:val="both"/>
        <w:rPr>
          <w:b/>
          <w:bCs/>
          <w:u w:val="single"/>
        </w:rPr>
      </w:pPr>
      <w:r w:rsidRPr="00C17D51">
        <w:rPr>
          <w:b/>
          <w:bCs/>
          <w:u w:val="single"/>
        </w:rPr>
        <w:t>FAQs</w:t>
      </w:r>
    </w:p>
    <w:p w14:paraId="3467C414" w14:textId="12DB3E24" w:rsidR="00716C51" w:rsidRPr="00C17D51" w:rsidRDefault="00716C51" w:rsidP="00164B97">
      <w:pPr>
        <w:pStyle w:val="ListParagraph"/>
        <w:numPr>
          <w:ilvl w:val="0"/>
          <w:numId w:val="1"/>
        </w:numPr>
        <w:spacing w:after="0"/>
        <w:jc w:val="both"/>
        <w:rPr>
          <w:b/>
          <w:bCs/>
          <w:u w:val="single"/>
        </w:rPr>
      </w:pPr>
      <w:r w:rsidRPr="00C17D51">
        <w:rPr>
          <w:b/>
          <w:bCs/>
          <w:smallCaps w:val="0"/>
        </w:rPr>
        <w:t xml:space="preserve">Who in the negotiations process is responsible for overseeing the negotiations process </w:t>
      </w:r>
      <w:proofErr w:type="gramStart"/>
      <w:r w:rsidRPr="00C17D51">
        <w:rPr>
          <w:b/>
          <w:bCs/>
          <w:smallCaps w:val="0"/>
        </w:rPr>
        <w:t>in regard to</w:t>
      </w:r>
      <w:proofErr w:type="gramEnd"/>
      <w:r w:rsidRPr="00C17D51">
        <w:rPr>
          <w:b/>
          <w:bCs/>
          <w:smallCaps w:val="0"/>
        </w:rPr>
        <w:t xml:space="preserve"> formal partner cross-training arrangements and fulfillment of these commitments?</w:t>
      </w:r>
    </w:p>
    <w:p w14:paraId="7191AC21" w14:textId="470B3C8F" w:rsidR="00716C51" w:rsidRPr="00C17D51" w:rsidRDefault="00716C51" w:rsidP="00164B97">
      <w:pPr>
        <w:pStyle w:val="ListParagraph"/>
        <w:spacing w:after="0"/>
        <w:ind w:left="360"/>
        <w:jc w:val="both"/>
        <w:rPr>
          <w:smallCaps w:val="0"/>
        </w:rPr>
      </w:pPr>
      <w:r w:rsidRPr="00C17D51">
        <w:rPr>
          <w:smallCaps w:val="0"/>
        </w:rPr>
        <w:t xml:space="preserve">The one-stop operator may be a source that ensures that cross-training between partners occurs in a compliant manner, in alignment with the MOU and one-stop operating budget. Ultimately, the successful cross-training of partner staff to provide services is contingent upon the partners involved. </w:t>
      </w:r>
    </w:p>
    <w:p w14:paraId="151F0987" w14:textId="62BD2FC5" w:rsidR="00013D0B" w:rsidRPr="00C17D51" w:rsidRDefault="00013D0B" w:rsidP="00164B97">
      <w:pPr>
        <w:pStyle w:val="ListParagraph"/>
        <w:spacing w:after="0"/>
        <w:ind w:left="360"/>
        <w:jc w:val="both"/>
        <w:rPr>
          <w:smallCaps w:val="0"/>
        </w:rPr>
      </w:pPr>
    </w:p>
    <w:p w14:paraId="0EDE8D75" w14:textId="1DD5340E" w:rsidR="00013D0B" w:rsidRPr="00C17D51" w:rsidRDefault="00013D0B" w:rsidP="00164B97">
      <w:pPr>
        <w:pStyle w:val="ListParagraph"/>
        <w:numPr>
          <w:ilvl w:val="0"/>
          <w:numId w:val="1"/>
        </w:numPr>
        <w:spacing w:after="0"/>
        <w:jc w:val="both"/>
        <w:rPr>
          <w:b/>
          <w:bCs/>
          <w:smallCaps w:val="0"/>
        </w:rPr>
      </w:pPr>
      <w:r w:rsidRPr="00C17D51">
        <w:rPr>
          <w:b/>
          <w:bCs/>
          <w:smallCaps w:val="0"/>
        </w:rPr>
        <w:t xml:space="preserve">Can the State require </w:t>
      </w:r>
      <w:r w:rsidR="000010E0">
        <w:rPr>
          <w:b/>
          <w:bCs/>
          <w:smallCaps w:val="0"/>
        </w:rPr>
        <w:t xml:space="preserve">a </w:t>
      </w:r>
      <w:r w:rsidRPr="00C17D51">
        <w:rPr>
          <w:b/>
          <w:bCs/>
          <w:smallCaps w:val="0"/>
        </w:rPr>
        <w:t>local area to provide a call-in option for MOU and budget negotiations to avoid potential scheduling conflicts?</w:t>
      </w:r>
    </w:p>
    <w:p w14:paraId="724A70FD" w14:textId="2E7A8601" w:rsidR="00013D0B" w:rsidRPr="00C17D51" w:rsidRDefault="00B70416" w:rsidP="00164B97">
      <w:pPr>
        <w:pStyle w:val="ListParagraph"/>
        <w:spacing w:after="0"/>
        <w:ind w:left="360"/>
        <w:jc w:val="both"/>
        <w:rPr>
          <w:smallCaps w:val="0"/>
        </w:rPr>
      </w:pPr>
      <w:r w:rsidRPr="00C17D51">
        <w:rPr>
          <w:smallCaps w:val="0"/>
        </w:rPr>
        <w:t xml:space="preserve">According to </w:t>
      </w:r>
      <w:r w:rsidR="00824439">
        <w:rPr>
          <w:smallCaps w:val="0"/>
        </w:rPr>
        <w:t xml:space="preserve">the </w:t>
      </w:r>
      <w:r w:rsidRPr="00C17D51">
        <w:rPr>
          <w:smallCaps w:val="0"/>
        </w:rPr>
        <w:t xml:space="preserve">Final Rule, the MOU is a product of local discussion and negotiation (§678.500). Local </w:t>
      </w:r>
      <w:r w:rsidR="00D07A73">
        <w:rPr>
          <w:smallCaps w:val="0"/>
        </w:rPr>
        <w:t>workforce boards</w:t>
      </w:r>
      <w:r w:rsidRPr="00C17D51">
        <w:rPr>
          <w:smallCaps w:val="0"/>
        </w:rPr>
        <w:t xml:space="preserve"> and partners must </w:t>
      </w:r>
      <w:proofErr w:type="gramStart"/>
      <w:r w:rsidRPr="00C17D51">
        <w:rPr>
          <w:smallCaps w:val="0"/>
        </w:rPr>
        <w:t>enter into</w:t>
      </w:r>
      <w:proofErr w:type="gramEnd"/>
      <w:r w:rsidRPr="00C17D51">
        <w:rPr>
          <w:smallCaps w:val="0"/>
        </w:rPr>
        <w:t xml:space="preserve"> good-faith negotiations as well (§678.510), though there is no stipulation as to how these meetings must occur. In Illinois, the </w:t>
      </w:r>
      <w:r w:rsidR="00013D0B" w:rsidRPr="00C17D51">
        <w:rPr>
          <w:smallCaps w:val="0"/>
        </w:rPr>
        <w:t xml:space="preserve">scheduling of meetings during MOU and budget negotiations is </w:t>
      </w:r>
      <w:r w:rsidR="00D07A73">
        <w:rPr>
          <w:smallCaps w:val="0"/>
        </w:rPr>
        <w:t>up to local discretion</w:t>
      </w:r>
      <w:r w:rsidRPr="00C17D51">
        <w:rPr>
          <w:smallCaps w:val="0"/>
        </w:rPr>
        <w:t xml:space="preserve">, ensuring that all partners have </w:t>
      </w:r>
      <w:r w:rsidR="00D07A73">
        <w:rPr>
          <w:smallCaps w:val="0"/>
        </w:rPr>
        <w:t>ample opportunities to</w:t>
      </w:r>
      <w:r w:rsidR="00824439">
        <w:rPr>
          <w:smallCaps w:val="0"/>
        </w:rPr>
        <w:t xml:space="preserve"> participate. </w:t>
      </w:r>
    </w:p>
    <w:p w14:paraId="06CC3520" w14:textId="631EAEF1" w:rsidR="00013D0B" w:rsidRPr="00C17D51" w:rsidRDefault="00013D0B" w:rsidP="00164B97">
      <w:pPr>
        <w:pStyle w:val="ListParagraph"/>
        <w:spacing w:after="0"/>
        <w:ind w:left="360"/>
        <w:jc w:val="both"/>
        <w:rPr>
          <w:smallCaps w:val="0"/>
        </w:rPr>
      </w:pPr>
    </w:p>
    <w:p w14:paraId="41DB077D" w14:textId="33E00B80" w:rsidR="00013D0B" w:rsidRPr="00C17D51" w:rsidRDefault="00013D0B" w:rsidP="00164B97">
      <w:pPr>
        <w:pStyle w:val="ListParagraph"/>
        <w:numPr>
          <w:ilvl w:val="0"/>
          <w:numId w:val="1"/>
        </w:numPr>
        <w:jc w:val="both"/>
        <w:rPr>
          <w:b/>
          <w:bCs/>
          <w:smallCaps w:val="0"/>
        </w:rPr>
      </w:pPr>
      <w:r w:rsidRPr="00C17D51">
        <w:rPr>
          <w:b/>
          <w:bCs/>
          <w:smallCaps w:val="0"/>
        </w:rPr>
        <w:t>If the consortium model is selected as the one-stop operator model, is the local workforce innovation board responsible for convening system stakeholder</w:t>
      </w:r>
      <w:r w:rsidR="00824439">
        <w:rPr>
          <w:b/>
          <w:bCs/>
          <w:smallCaps w:val="0"/>
        </w:rPr>
        <w:t>s</w:t>
      </w:r>
      <w:r w:rsidRPr="00C17D51">
        <w:rPr>
          <w:b/>
          <w:bCs/>
          <w:smallCaps w:val="0"/>
        </w:rPr>
        <w:t xml:space="preserve"> for local planning?</w:t>
      </w:r>
    </w:p>
    <w:p w14:paraId="2463B7B8" w14:textId="6DC47DCD" w:rsidR="00013D0B" w:rsidRPr="00C17D51" w:rsidRDefault="00B958EC" w:rsidP="00164B97">
      <w:pPr>
        <w:pStyle w:val="ListParagraph"/>
        <w:ind w:left="360"/>
        <w:jc w:val="both"/>
        <w:rPr>
          <w:smallCaps w:val="0"/>
        </w:rPr>
      </w:pPr>
      <w:r>
        <w:rPr>
          <w:smallCaps w:val="0"/>
        </w:rPr>
        <w:lastRenderedPageBreak/>
        <w:t xml:space="preserve">According to 20 CFR </w:t>
      </w:r>
      <w:r w:rsidRPr="0052488E">
        <w:rPr>
          <w:smallCaps w:val="0"/>
        </w:rPr>
        <w:t>§</w:t>
      </w:r>
      <w:r>
        <w:rPr>
          <w:smallCaps w:val="0"/>
        </w:rPr>
        <w:t xml:space="preserve">679.370(d), the local workforce innovation board must </w:t>
      </w:r>
      <w:r w:rsidR="00BB7470">
        <w:rPr>
          <w:smallCaps w:val="0"/>
        </w:rPr>
        <w:t>“</w:t>
      </w:r>
      <w:r>
        <w:rPr>
          <w:smallCaps w:val="0"/>
        </w:rPr>
        <w:t xml:space="preserve">convene local workforce development system stakeholders to assist in the development of the local plan under </w:t>
      </w:r>
      <w:r w:rsidRPr="00B958EC">
        <w:rPr>
          <w:smallCaps w:val="0"/>
        </w:rPr>
        <w:t>§679.550 and in identifying non-Federal expertise and resources to leverage support for workforce development activities.</w:t>
      </w:r>
      <w:r>
        <w:rPr>
          <w:smallCaps w:val="0"/>
        </w:rPr>
        <w:t xml:space="preserve"> </w:t>
      </w:r>
      <w:r w:rsidRPr="00B958EC">
        <w:rPr>
          <w:smallCaps w:val="0"/>
        </w:rPr>
        <w:t>Such stakeholders may assist the Local WDB and standing committees in carrying out convening, brokering, and leveraging functions at the direction of the Local WDB</w:t>
      </w:r>
      <w:r>
        <w:rPr>
          <w:smallCaps w:val="0"/>
        </w:rPr>
        <w:t>.</w:t>
      </w:r>
      <w:r w:rsidR="00BB7470">
        <w:rPr>
          <w:smallCaps w:val="0"/>
        </w:rPr>
        <w:t>”</w:t>
      </w:r>
      <w:r>
        <w:rPr>
          <w:smallCaps w:val="0"/>
        </w:rPr>
        <w:t xml:space="preserve"> </w:t>
      </w:r>
      <w:r w:rsidR="00BB7470">
        <w:rPr>
          <w:smallCaps w:val="0"/>
        </w:rPr>
        <w:t xml:space="preserve">This is applicable regardless of the one-stop operator model selected. </w:t>
      </w:r>
      <w:r>
        <w:rPr>
          <w:smallCaps w:val="0"/>
        </w:rPr>
        <w:t xml:space="preserve"> </w:t>
      </w:r>
    </w:p>
    <w:p w14:paraId="3985A682" w14:textId="57519547" w:rsidR="00472783" w:rsidRPr="00C17D51" w:rsidRDefault="00472783" w:rsidP="00164B97">
      <w:pPr>
        <w:pStyle w:val="ListParagraph"/>
        <w:ind w:left="360"/>
        <w:jc w:val="both"/>
        <w:rPr>
          <w:smallCaps w:val="0"/>
        </w:rPr>
      </w:pPr>
    </w:p>
    <w:p w14:paraId="5D7234BB" w14:textId="2D73A5A9" w:rsidR="00674969" w:rsidRPr="00C17D51" w:rsidRDefault="00674969" w:rsidP="00674969">
      <w:pPr>
        <w:pStyle w:val="ListParagraph"/>
        <w:numPr>
          <w:ilvl w:val="0"/>
          <w:numId w:val="1"/>
        </w:numPr>
        <w:spacing w:after="0"/>
        <w:jc w:val="both"/>
        <w:rPr>
          <w:b/>
          <w:bCs/>
          <w:smallCaps w:val="0"/>
        </w:rPr>
      </w:pPr>
      <w:r w:rsidRPr="00C17D51">
        <w:rPr>
          <w:b/>
          <w:bCs/>
          <w:smallCaps w:val="0"/>
        </w:rPr>
        <w:t>Does the one-stop operator model selected by the local area (i.e.</w:t>
      </w:r>
      <w:r w:rsidR="00D07A73">
        <w:rPr>
          <w:b/>
          <w:bCs/>
          <w:smallCaps w:val="0"/>
        </w:rPr>
        <w:t>,</w:t>
      </w:r>
      <w:r w:rsidRPr="00C17D51">
        <w:rPr>
          <w:b/>
          <w:bCs/>
          <w:smallCaps w:val="0"/>
        </w:rPr>
        <w:t xml:space="preserve"> consortium, single entity) affect the activities that are prohibited from being performed by the one-stop operator?</w:t>
      </w:r>
    </w:p>
    <w:p w14:paraId="015DCCEB" w14:textId="4D587B01" w:rsidR="00674969" w:rsidRPr="00C17D51" w:rsidRDefault="00674969" w:rsidP="00674969">
      <w:pPr>
        <w:pStyle w:val="ListParagraph"/>
        <w:spacing w:after="0"/>
        <w:ind w:left="360"/>
        <w:jc w:val="both"/>
        <w:rPr>
          <w:smallCaps w:val="0"/>
        </w:rPr>
      </w:pPr>
      <w:r w:rsidRPr="00C17D51">
        <w:rPr>
          <w:smallCaps w:val="0"/>
        </w:rPr>
        <w:t xml:space="preserve">No. The prohibited functions of the one-stop operator are not contingent upon the type of one-stop operator model selected by the local area. </w:t>
      </w:r>
    </w:p>
    <w:p w14:paraId="5673A5C3" w14:textId="5230BC12" w:rsidR="00DE23A6" w:rsidRDefault="00DE23A6" w:rsidP="00674969">
      <w:pPr>
        <w:pStyle w:val="ListParagraph"/>
        <w:spacing w:after="0"/>
        <w:ind w:left="360"/>
        <w:jc w:val="both"/>
        <w:rPr>
          <w:smallCaps w:val="0"/>
        </w:rPr>
      </w:pPr>
    </w:p>
    <w:p w14:paraId="09058B78" w14:textId="77777777" w:rsidR="00D228DB" w:rsidRPr="00C17D51" w:rsidRDefault="00D228DB" w:rsidP="00D228DB">
      <w:pPr>
        <w:pStyle w:val="ListParagraph"/>
        <w:numPr>
          <w:ilvl w:val="0"/>
          <w:numId w:val="1"/>
        </w:numPr>
        <w:spacing w:after="0"/>
        <w:jc w:val="both"/>
        <w:rPr>
          <w:b/>
          <w:bCs/>
          <w:smallCaps w:val="0"/>
        </w:rPr>
      </w:pPr>
      <w:r w:rsidRPr="00C17D51">
        <w:rPr>
          <w:b/>
          <w:bCs/>
          <w:smallCaps w:val="0"/>
        </w:rPr>
        <w:t>Which partners are responsible for providing follow-up services for youth?</w:t>
      </w:r>
    </w:p>
    <w:p w14:paraId="34C436B0" w14:textId="13BC8B17" w:rsidR="00D228DB" w:rsidRPr="00C17D51" w:rsidRDefault="00D228DB" w:rsidP="00D228DB">
      <w:pPr>
        <w:pStyle w:val="ListParagraph"/>
        <w:spacing w:after="0"/>
        <w:ind w:left="360"/>
        <w:jc w:val="both"/>
        <w:rPr>
          <w:smallCaps w:val="0"/>
        </w:rPr>
      </w:pPr>
      <w:r w:rsidRPr="00C17D51">
        <w:rPr>
          <w:smallCaps w:val="0"/>
        </w:rPr>
        <w:t>As described in WIOA Sec. 129(c)(2)(I), program partners providing career services to youth (as described in WIOA Sec. 129(c)(1)) must provide follow-up services</w:t>
      </w:r>
      <w:r w:rsidR="00D07A73">
        <w:rPr>
          <w:smallCaps w:val="0"/>
        </w:rPr>
        <w:t xml:space="preserve"> </w:t>
      </w:r>
      <w:r w:rsidRPr="00C17D51">
        <w:rPr>
          <w:smallCaps w:val="0"/>
        </w:rPr>
        <w:t>for youth placed in employment for no less than 12 months.</w:t>
      </w:r>
    </w:p>
    <w:p w14:paraId="32ABEF3B" w14:textId="77777777" w:rsidR="00D228DB" w:rsidRPr="00C17D51" w:rsidRDefault="00D228DB" w:rsidP="00674969">
      <w:pPr>
        <w:pStyle w:val="ListParagraph"/>
        <w:spacing w:after="0"/>
        <w:ind w:left="360"/>
        <w:jc w:val="both"/>
        <w:rPr>
          <w:smallCaps w:val="0"/>
        </w:rPr>
      </w:pPr>
    </w:p>
    <w:p w14:paraId="1426627B" w14:textId="4F1F36BA" w:rsidR="00DE23A6" w:rsidRPr="00C17D51" w:rsidRDefault="00DE23A6" w:rsidP="00DE23A6">
      <w:pPr>
        <w:pStyle w:val="ListParagraph"/>
        <w:numPr>
          <w:ilvl w:val="0"/>
          <w:numId w:val="1"/>
        </w:numPr>
        <w:spacing w:after="0"/>
        <w:jc w:val="both"/>
        <w:rPr>
          <w:b/>
          <w:bCs/>
          <w:smallCaps w:val="0"/>
        </w:rPr>
      </w:pPr>
      <w:r w:rsidRPr="00C17D51">
        <w:rPr>
          <w:b/>
          <w:bCs/>
          <w:smallCaps w:val="0"/>
        </w:rPr>
        <w:t>Are all partners aware that they are to participate in good faith negotiations?</w:t>
      </w:r>
    </w:p>
    <w:p w14:paraId="42638C31" w14:textId="3525FFC6" w:rsidR="00DE23A6" w:rsidRPr="00C17D51" w:rsidRDefault="00DE23A6" w:rsidP="00DE23A6">
      <w:pPr>
        <w:pStyle w:val="ListParagraph"/>
        <w:spacing w:after="0"/>
        <w:ind w:left="360"/>
        <w:jc w:val="both"/>
        <w:rPr>
          <w:smallCaps w:val="0"/>
        </w:rPr>
      </w:pPr>
      <w:r w:rsidRPr="00C17D51">
        <w:rPr>
          <w:smallCaps w:val="0"/>
        </w:rPr>
        <w:t>The Governor’s Guidelines – Revision 4 (Section 1, Item 6) state that all individuals participating in the development and negotiation of local MOUs will negotiate as equals and in good faith to reach agreement and to bring about a unified vision for the local one-stop deliver</w:t>
      </w:r>
      <w:r w:rsidR="00824439">
        <w:rPr>
          <w:smallCaps w:val="0"/>
        </w:rPr>
        <w:t>y</w:t>
      </w:r>
      <w:r w:rsidRPr="00C17D51">
        <w:rPr>
          <w:smallCaps w:val="0"/>
        </w:rPr>
        <w:t xml:space="preserve"> system. This includes participating in required partner meetings from the beginning of each negotiation period and addressing issues or requests for changes during each step of the development and approval of the MOU and one-stop operating budget.</w:t>
      </w:r>
    </w:p>
    <w:p w14:paraId="7BBE43AB" w14:textId="4D36FAEB" w:rsidR="00DE23A6" w:rsidRPr="00C17D51" w:rsidRDefault="00DE23A6" w:rsidP="00DE23A6">
      <w:pPr>
        <w:pStyle w:val="ListParagraph"/>
        <w:spacing w:after="0"/>
        <w:ind w:left="360"/>
        <w:jc w:val="both"/>
        <w:rPr>
          <w:smallCaps w:val="0"/>
        </w:rPr>
      </w:pPr>
    </w:p>
    <w:p w14:paraId="5144F6B1" w14:textId="6DC570EC" w:rsidR="00DE23A6" w:rsidRPr="00C17D51" w:rsidRDefault="00DE23A6" w:rsidP="00DE23A6">
      <w:pPr>
        <w:pStyle w:val="ListParagraph"/>
        <w:spacing w:after="0"/>
        <w:ind w:left="360"/>
        <w:jc w:val="both"/>
        <w:rPr>
          <w:smallCaps w:val="0"/>
        </w:rPr>
      </w:pPr>
      <w:r w:rsidRPr="00C17D51">
        <w:rPr>
          <w:smallCaps w:val="0"/>
        </w:rPr>
        <w:t xml:space="preserve">Through indicating on the Pre-Program Year Planning Form, local areas can ensure the State is aware of any staff or partner programs new to the WIOA implementation process in Illinois that would benefit from a WIOA orientation. </w:t>
      </w:r>
    </w:p>
    <w:p w14:paraId="7C5ABF2C" w14:textId="77777777" w:rsidR="00DE23A6" w:rsidRPr="00C17D51" w:rsidRDefault="00DE23A6" w:rsidP="00DE23A6">
      <w:pPr>
        <w:spacing w:after="0"/>
        <w:jc w:val="both"/>
        <w:rPr>
          <w:smallCaps w:val="0"/>
        </w:rPr>
      </w:pPr>
    </w:p>
    <w:p w14:paraId="708946E8" w14:textId="77777777" w:rsidR="00674969" w:rsidRPr="00C17D51" w:rsidRDefault="00674969" w:rsidP="00472783">
      <w:pPr>
        <w:pStyle w:val="ListParagraph"/>
        <w:spacing w:after="0"/>
        <w:ind w:left="360"/>
        <w:jc w:val="both"/>
        <w:rPr>
          <w:smallCaps w:val="0"/>
        </w:rPr>
      </w:pPr>
    </w:p>
    <w:p w14:paraId="59D16EA3" w14:textId="0EEEE0A6" w:rsidR="00CC5FA7" w:rsidRPr="00C17D51" w:rsidRDefault="00CC5FA7" w:rsidP="00164B97">
      <w:pPr>
        <w:spacing w:after="0"/>
        <w:jc w:val="both"/>
        <w:rPr>
          <w:b/>
          <w:bCs/>
          <w:u w:val="single"/>
        </w:rPr>
      </w:pPr>
      <w:r w:rsidRPr="00C17D51">
        <w:rPr>
          <w:b/>
          <w:bCs/>
          <w:u w:val="single"/>
        </w:rPr>
        <w:t>Suggested Improvements</w:t>
      </w:r>
    </w:p>
    <w:p w14:paraId="7D2D0C21" w14:textId="4437474C" w:rsidR="00CC5FA7" w:rsidRPr="00C17D51" w:rsidRDefault="00CC5FA7" w:rsidP="00164B97">
      <w:pPr>
        <w:spacing w:after="0"/>
        <w:jc w:val="both"/>
        <w:rPr>
          <w:b/>
          <w:bCs/>
          <w:u w:val="single"/>
        </w:rPr>
      </w:pPr>
    </w:p>
    <w:p w14:paraId="6BC2E3C6" w14:textId="7BFB9FEE" w:rsidR="00DE3D36" w:rsidRPr="00C17D51" w:rsidRDefault="00DE3D36" w:rsidP="00164B97">
      <w:pPr>
        <w:pStyle w:val="ListParagraph"/>
        <w:numPr>
          <w:ilvl w:val="0"/>
          <w:numId w:val="1"/>
        </w:numPr>
        <w:spacing w:after="0"/>
        <w:jc w:val="both"/>
        <w:rPr>
          <w:b/>
          <w:bCs/>
          <w:smallCaps w:val="0"/>
        </w:rPr>
      </w:pPr>
      <w:r w:rsidRPr="00C17D51">
        <w:rPr>
          <w:b/>
          <w:bCs/>
          <w:smallCaps w:val="0"/>
        </w:rPr>
        <w:t xml:space="preserve">An evolving list of those individuals authorized to sign MOUs on behalf of required partners would be helpful to ensure the correct signature is sought during the negotiations process. </w:t>
      </w:r>
    </w:p>
    <w:p w14:paraId="32105344" w14:textId="01C88DA7" w:rsidR="00DE3D36" w:rsidRPr="00C17D51" w:rsidRDefault="00DE3D36" w:rsidP="00164B97">
      <w:pPr>
        <w:pStyle w:val="ListParagraph"/>
        <w:spacing w:after="0"/>
        <w:ind w:left="360"/>
        <w:jc w:val="both"/>
        <w:rPr>
          <w:smallCaps w:val="0"/>
        </w:rPr>
      </w:pPr>
      <w:r w:rsidRPr="00C17D51">
        <w:rPr>
          <w:smallCaps w:val="0"/>
        </w:rPr>
        <w:t xml:space="preserve">The feasibility of distributing a list of authorized signatories for each required partner, updated for each program year, is being explored.  </w:t>
      </w:r>
    </w:p>
    <w:p w14:paraId="05EEE330" w14:textId="723F5574" w:rsidR="00DE3D36" w:rsidRDefault="00DE3D36" w:rsidP="00164B97">
      <w:pPr>
        <w:spacing w:after="0"/>
        <w:jc w:val="both"/>
        <w:rPr>
          <w:smallCaps w:val="0"/>
        </w:rPr>
      </w:pPr>
    </w:p>
    <w:p w14:paraId="5783A037" w14:textId="77777777" w:rsidR="00824439" w:rsidRPr="00C17D51" w:rsidRDefault="00824439" w:rsidP="00824439">
      <w:pPr>
        <w:pStyle w:val="ListParagraph"/>
        <w:numPr>
          <w:ilvl w:val="0"/>
          <w:numId w:val="1"/>
        </w:numPr>
        <w:spacing w:after="0"/>
        <w:jc w:val="both"/>
        <w:rPr>
          <w:b/>
          <w:bCs/>
          <w:smallCaps w:val="0"/>
        </w:rPr>
      </w:pPr>
      <w:r w:rsidRPr="00C17D51">
        <w:rPr>
          <w:b/>
          <w:bCs/>
          <w:smallCaps w:val="0"/>
        </w:rPr>
        <w:t xml:space="preserve">To further streamline the description of all partners that each partner will make referrals to, a checkbox could be added to the Referral System matrix that when checked would affirm that all partners agree to refer to all other partners. </w:t>
      </w:r>
    </w:p>
    <w:p w14:paraId="6FA6472E" w14:textId="598E994D" w:rsidR="00824439" w:rsidRPr="00C17D51" w:rsidRDefault="00D07A73" w:rsidP="00824439">
      <w:pPr>
        <w:pStyle w:val="Default"/>
        <w:ind w:left="360"/>
        <w:jc w:val="both"/>
        <w:rPr>
          <w:smallCaps w:val="0"/>
        </w:rPr>
      </w:pPr>
      <w:r>
        <w:rPr>
          <w:smallCaps w:val="0"/>
        </w:rPr>
        <w:t>T</w:t>
      </w:r>
      <w:r w:rsidR="00824439" w:rsidRPr="00C17D51">
        <w:rPr>
          <w:smallCaps w:val="0"/>
        </w:rPr>
        <w:t xml:space="preserve">o ensure compliance with WIOA statute ((Sec. 121 (c)(2)(iii))), each partner must affirm </w:t>
      </w:r>
      <w:r>
        <w:rPr>
          <w:smallCaps w:val="0"/>
        </w:rPr>
        <w:t xml:space="preserve">to which partners it will make referrals. </w:t>
      </w:r>
      <w:r w:rsidR="00824439" w:rsidRPr="00C17D51">
        <w:rPr>
          <w:smallCaps w:val="0"/>
        </w:rPr>
        <w:t xml:space="preserve"> </w:t>
      </w:r>
    </w:p>
    <w:p w14:paraId="02BE3F00" w14:textId="77777777" w:rsidR="00824439" w:rsidRPr="00C17D51" w:rsidRDefault="00824439" w:rsidP="00164B97">
      <w:pPr>
        <w:spacing w:after="0"/>
        <w:jc w:val="both"/>
        <w:rPr>
          <w:smallCaps w:val="0"/>
        </w:rPr>
      </w:pPr>
    </w:p>
    <w:p w14:paraId="17B70B73" w14:textId="4E9BF224" w:rsidR="00CC5FA7" w:rsidRPr="00C17D51" w:rsidRDefault="00CC5FA7" w:rsidP="00472783">
      <w:pPr>
        <w:pStyle w:val="ListParagraph"/>
        <w:numPr>
          <w:ilvl w:val="0"/>
          <w:numId w:val="1"/>
        </w:numPr>
        <w:spacing w:after="0"/>
        <w:jc w:val="both"/>
        <w:rPr>
          <w:b/>
          <w:bCs/>
          <w:smallCaps w:val="0"/>
        </w:rPr>
      </w:pPr>
      <w:r w:rsidRPr="00C17D51">
        <w:rPr>
          <w:b/>
          <w:bCs/>
          <w:smallCaps w:val="0"/>
        </w:rPr>
        <w:t xml:space="preserve">A conversion chart showing the actual hours required by a specific FTE commitment would be helpful in illustrating the exact time commitment required by a certain FTE commitment. </w:t>
      </w:r>
    </w:p>
    <w:p w14:paraId="4EDCAEEA" w14:textId="63A6EF0A" w:rsidR="00FE2A82" w:rsidRPr="00C17D51" w:rsidRDefault="00FE2A82" w:rsidP="00164B97">
      <w:pPr>
        <w:pStyle w:val="ListParagraph"/>
        <w:spacing w:after="0"/>
        <w:ind w:left="360"/>
        <w:jc w:val="both"/>
        <w:rPr>
          <w:smallCaps w:val="0"/>
        </w:rPr>
      </w:pPr>
      <w:r w:rsidRPr="00C17D51">
        <w:rPr>
          <w:smallCaps w:val="0"/>
        </w:rPr>
        <w:t>The possibility of including an FTE conversion chart as a part of State guidance is currently being explored.</w:t>
      </w:r>
    </w:p>
    <w:p w14:paraId="59E010D7" w14:textId="77777777" w:rsidR="00CC5FA7" w:rsidRPr="00C17D51" w:rsidRDefault="00CC5FA7" w:rsidP="00164B97">
      <w:pPr>
        <w:pStyle w:val="ListParagraph"/>
        <w:spacing w:after="0"/>
        <w:ind w:left="360"/>
        <w:jc w:val="both"/>
        <w:rPr>
          <w:smallCaps w:val="0"/>
        </w:rPr>
      </w:pPr>
    </w:p>
    <w:p w14:paraId="2DF44D90" w14:textId="6F0575C3" w:rsidR="00CC5FA7" w:rsidRPr="00C17D51" w:rsidRDefault="00D07A73" w:rsidP="00472783">
      <w:pPr>
        <w:pStyle w:val="ListParagraph"/>
        <w:numPr>
          <w:ilvl w:val="0"/>
          <w:numId w:val="1"/>
        </w:numPr>
        <w:spacing w:after="0"/>
        <w:jc w:val="both"/>
        <w:rPr>
          <w:b/>
          <w:bCs/>
          <w:smallCaps w:val="0"/>
        </w:rPr>
      </w:pPr>
      <w:r>
        <w:rPr>
          <w:b/>
          <w:bCs/>
          <w:smallCaps w:val="0"/>
        </w:rPr>
        <w:t xml:space="preserve">Can you please share </w:t>
      </w:r>
      <w:r w:rsidR="00CC5FA7" w:rsidRPr="00C17D51">
        <w:rPr>
          <w:b/>
          <w:bCs/>
          <w:smallCaps w:val="0"/>
        </w:rPr>
        <w:t xml:space="preserve">practices for completing sections of the MOU Template </w:t>
      </w:r>
      <w:r w:rsidR="00DE3D36" w:rsidRPr="00C17D51">
        <w:rPr>
          <w:b/>
          <w:bCs/>
          <w:smallCaps w:val="0"/>
        </w:rPr>
        <w:t xml:space="preserve">and engaging with less communicative service providers </w:t>
      </w:r>
      <w:r w:rsidR="00CC5FA7" w:rsidRPr="00C17D51">
        <w:rPr>
          <w:b/>
          <w:bCs/>
          <w:smallCaps w:val="0"/>
        </w:rPr>
        <w:t>to ensure compliance with State guidance and Federal statute</w:t>
      </w:r>
      <w:r>
        <w:rPr>
          <w:b/>
          <w:bCs/>
          <w:smallCaps w:val="0"/>
        </w:rPr>
        <w:t>?</w:t>
      </w:r>
    </w:p>
    <w:p w14:paraId="43EEE0C7" w14:textId="6B0F2924" w:rsidR="00FE2A82" w:rsidRDefault="00824439" w:rsidP="00164B97">
      <w:pPr>
        <w:pStyle w:val="ListParagraph"/>
        <w:spacing w:after="0"/>
        <w:ind w:left="360"/>
        <w:jc w:val="both"/>
        <w:rPr>
          <w:smallCaps w:val="0"/>
        </w:rPr>
      </w:pPr>
      <w:r>
        <w:rPr>
          <w:smallCaps w:val="0"/>
        </w:rPr>
        <w:t>Best practices for successfully completing and submitting required elements of WIOA implementation are updated on Illinois workNet. The expansion</w:t>
      </w:r>
      <w:r w:rsidR="00FE2A82" w:rsidRPr="00C17D51">
        <w:rPr>
          <w:smallCaps w:val="0"/>
        </w:rPr>
        <w:t xml:space="preserve"> </w:t>
      </w:r>
      <w:r>
        <w:rPr>
          <w:smallCaps w:val="0"/>
        </w:rPr>
        <w:t>of the</w:t>
      </w:r>
      <w:r w:rsidR="00FE2A82" w:rsidRPr="00C17D51">
        <w:rPr>
          <w:smallCaps w:val="0"/>
        </w:rPr>
        <w:t xml:space="preserve"> best practices </w:t>
      </w:r>
      <w:r>
        <w:rPr>
          <w:smallCaps w:val="0"/>
        </w:rPr>
        <w:t>displayed</w:t>
      </w:r>
      <w:r w:rsidR="00FE2A82" w:rsidRPr="00C17D51">
        <w:rPr>
          <w:smallCaps w:val="0"/>
        </w:rPr>
        <w:t xml:space="preserve"> on the WIOA Implementation Portal to include MOU narrative content is being explored. </w:t>
      </w:r>
    </w:p>
    <w:p w14:paraId="76E8F8C3" w14:textId="77777777" w:rsidR="000010E0" w:rsidRPr="000010E0" w:rsidRDefault="000010E0" w:rsidP="000010E0">
      <w:pPr>
        <w:spacing w:after="0"/>
        <w:jc w:val="both"/>
        <w:rPr>
          <w:smallCaps w:val="0"/>
        </w:rPr>
      </w:pPr>
    </w:p>
    <w:p w14:paraId="0B4E055D" w14:textId="1095839B" w:rsidR="00824439" w:rsidRDefault="0083485E" w:rsidP="0083485E">
      <w:pPr>
        <w:pStyle w:val="Default"/>
        <w:numPr>
          <w:ilvl w:val="0"/>
          <w:numId w:val="1"/>
        </w:numPr>
        <w:jc w:val="both"/>
        <w:rPr>
          <w:b/>
          <w:bCs/>
          <w:smallCaps w:val="0"/>
        </w:rPr>
      </w:pPr>
      <w:r w:rsidRPr="00C17D51">
        <w:rPr>
          <w:b/>
          <w:bCs/>
          <w:smallCaps w:val="0"/>
        </w:rPr>
        <w:t xml:space="preserve">Has any consideration </w:t>
      </w:r>
      <w:r w:rsidR="00D07A73">
        <w:rPr>
          <w:b/>
          <w:bCs/>
          <w:smallCaps w:val="0"/>
        </w:rPr>
        <w:t xml:space="preserve">been </w:t>
      </w:r>
      <w:r w:rsidRPr="00C17D51">
        <w:rPr>
          <w:b/>
          <w:bCs/>
          <w:smallCaps w:val="0"/>
        </w:rPr>
        <w:t>given to lowering the number of FTEs required to be committed by a required partner to provide services at the one-stop center through either</w:t>
      </w:r>
      <w:r w:rsidR="00824439">
        <w:rPr>
          <w:b/>
          <w:bCs/>
          <w:smallCaps w:val="0"/>
        </w:rPr>
        <w:t>:</w:t>
      </w:r>
    </w:p>
    <w:p w14:paraId="62B3EF5B" w14:textId="77777777" w:rsidR="00824439" w:rsidRDefault="0083485E" w:rsidP="00824439">
      <w:pPr>
        <w:pStyle w:val="Default"/>
        <w:numPr>
          <w:ilvl w:val="1"/>
          <w:numId w:val="1"/>
        </w:numPr>
        <w:jc w:val="both"/>
        <w:rPr>
          <w:b/>
          <w:bCs/>
          <w:smallCaps w:val="0"/>
        </w:rPr>
      </w:pPr>
      <w:r w:rsidRPr="00C17D51">
        <w:rPr>
          <w:b/>
          <w:bCs/>
          <w:smallCaps w:val="0"/>
        </w:rPr>
        <w:t xml:space="preserve">onsite program staff or contractor staff, </w:t>
      </w:r>
    </w:p>
    <w:p w14:paraId="0EEF22AE" w14:textId="48B72348" w:rsidR="00824439" w:rsidRDefault="0083485E" w:rsidP="00824439">
      <w:pPr>
        <w:pStyle w:val="Default"/>
        <w:numPr>
          <w:ilvl w:val="1"/>
          <w:numId w:val="1"/>
        </w:numPr>
        <w:jc w:val="both"/>
        <w:rPr>
          <w:b/>
          <w:bCs/>
          <w:smallCaps w:val="0"/>
        </w:rPr>
      </w:pPr>
      <w:r w:rsidRPr="00C17D51">
        <w:rPr>
          <w:b/>
          <w:bCs/>
          <w:smallCaps w:val="0"/>
        </w:rPr>
        <w:t xml:space="preserve">onsite program staff or contractor staff who are </w:t>
      </w:r>
      <w:r w:rsidR="00824439" w:rsidRPr="00C17D51">
        <w:rPr>
          <w:b/>
          <w:bCs/>
          <w:smallCaps w:val="0"/>
        </w:rPr>
        <w:t>cross trained</w:t>
      </w:r>
      <w:r w:rsidRPr="00C17D51">
        <w:rPr>
          <w:b/>
          <w:bCs/>
          <w:smallCaps w:val="0"/>
        </w:rPr>
        <w:t xml:space="preserve"> to deliver services on behalf of another required partner, or </w:t>
      </w:r>
      <w:r w:rsidR="00824439">
        <w:rPr>
          <w:b/>
          <w:bCs/>
          <w:smallCaps w:val="0"/>
        </w:rPr>
        <w:t>through</w:t>
      </w:r>
    </w:p>
    <w:p w14:paraId="73ADF7C0" w14:textId="69545789" w:rsidR="0083485E" w:rsidRPr="00C17D51" w:rsidRDefault="0083485E" w:rsidP="00824439">
      <w:pPr>
        <w:pStyle w:val="Default"/>
        <w:numPr>
          <w:ilvl w:val="1"/>
          <w:numId w:val="1"/>
        </w:numPr>
        <w:jc w:val="both"/>
        <w:rPr>
          <w:b/>
          <w:bCs/>
          <w:smallCaps w:val="0"/>
        </w:rPr>
      </w:pPr>
      <w:r w:rsidRPr="00C17D51">
        <w:rPr>
          <w:b/>
          <w:bCs/>
          <w:smallCaps w:val="0"/>
        </w:rPr>
        <w:t>offsite staff available via on demand technology meeting the requirements of “direct linkage?”</w:t>
      </w:r>
    </w:p>
    <w:p w14:paraId="501730DB" w14:textId="77777777" w:rsidR="00824439" w:rsidRDefault="00100CCB" w:rsidP="0083485E">
      <w:pPr>
        <w:pStyle w:val="Default"/>
        <w:ind w:left="360"/>
        <w:jc w:val="both"/>
        <w:rPr>
          <w:smallCaps w:val="0"/>
        </w:rPr>
      </w:pPr>
      <w:r w:rsidRPr="00C17D51">
        <w:rPr>
          <w:smallCaps w:val="0"/>
        </w:rPr>
        <w:t xml:space="preserve">Designated WIOA service locations must provide access to services to customers during regular business hours, according to Final Rule §678.305. Setting .25 FTE as the minimum contribution to the one-stop system to provide services ensures that services are provided as required by the </w:t>
      </w:r>
      <w:r w:rsidR="00824439">
        <w:rPr>
          <w:smallCaps w:val="0"/>
        </w:rPr>
        <w:t>WIOA law</w:t>
      </w:r>
      <w:r w:rsidRPr="00C17D51">
        <w:rPr>
          <w:smallCaps w:val="0"/>
        </w:rPr>
        <w:t xml:space="preserve">. </w:t>
      </w:r>
    </w:p>
    <w:p w14:paraId="157FE9C9" w14:textId="77777777" w:rsidR="00824439" w:rsidRDefault="00824439" w:rsidP="0083485E">
      <w:pPr>
        <w:pStyle w:val="Default"/>
        <w:ind w:left="360"/>
        <w:jc w:val="both"/>
        <w:rPr>
          <w:smallCaps w:val="0"/>
        </w:rPr>
      </w:pPr>
    </w:p>
    <w:p w14:paraId="4BEB94E3" w14:textId="24BA2DE8" w:rsidR="0083485E" w:rsidRPr="00C17D51" w:rsidRDefault="00DE23A6" w:rsidP="0083485E">
      <w:pPr>
        <w:pStyle w:val="Default"/>
        <w:ind w:left="360"/>
        <w:jc w:val="both"/>
        <w:rPr>
          <w:smallCaps w:val="0"/>
        </w:rPr>
      </w:pPr>
      <w:r w:rsidRPr="00C17D51">
        <w:rPr>
          <w:smallCaps w:val="0"/>
        </w:rPr>
        <w:t>If all required partners agree to allow a partner to commit to less than a .25 FTE, and the local board chair concurs, the local board chair can then submit a waiver using the waiver request form included in the Report of Outcomes template (Appendix G of the Governor’s Guidelines – Revision 4).</w:t>
      </w:r>
    </w:p>
    <w:p w14:paraId="5BC82C82" w14:textId="77777777" w:rsidR="00FE2A82" w:rsidRPr="00C17D51" w:rsidRDefault="00FE2A82" w:rsidP="00164B97">
      <w:pPr>
        <w:pStyle w:val="ListParagraph"/>
        <w:spacing w:after="0"/>
        <w:ind w:left="360"/>
        <w:jc w:val="both"/>
        <w:rPr>
          <w:smallCaps w:val="0"/>
        </w:rPr>
      </w:pPr>
    </w:p>
    <w:p w14:paraId="3C2DA236" w14:textId="0FA923ED" w:rsidR="00CC5FA7" w:rsidRPr="00C17D51" w:rsidRDefault="00CC5FA7" w:rsidP="00FE2A82">
      <w:pPr>
        <w:pStyle w:val="ListParagraph"/>
        <w:spacing w:after="0"/>
        <w:ind w:left="360"/>
        <w:jc w:val="both"/>
        <w:rPr>
          <w:smallCaps w:val="0"/>
          <w:u w:val="single"/>
        </w:rPr>
      </w:pPr>
    </w:p>
    <w:sectPr w:rsidR="00CC5FA7" w:rsidRPr="00C17D5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4B46D" w14:textId="77777777" w:rsidR="001C3A97" w:rsidRDefault="001C3A97" w:rsidP="004E4450">
      <w:pPr>
        <w:spacing w:after="0" w:line="240" w:lineRule="auto"/>
      </w:pPr>
      <w:r>
        <w:separator/>
      </w:r>
    </w:p>
  </w:endnote>
  <w:endnote w:type="continuationSeparator" w:id="0">
    <w:p w14:paraId="3D90044B" w14:textId="77777777" w:rsidR="001C3A97" w:rsidRDefault="001C3A97" w:rsidP="004E4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45719"/>
      <w:docPartObj>
        <w:docPartGallery w:val="Page Numbers (Bottom of Page)"/>
        <w:docPartUnique/>
      </w:docPartObj>
    </w:sdtPr>
    <w:sdtEndPr>
      <w:rPr>
        <w:noProof/>
      </w:rPr>
    </w:sdtEndPr>
    <w:sdtContent>
      <w:p w14:paraId="2C35F1AC" w14:textId="785C7047" w:rsidR="001C3A97" w:rsidRDefault="001C3A97">
        <w:pPr>
          <w:pStyle w:val="Footer"/>
          <w:jc w:val="right"/>
        </w:pPr>
        <w:r>
          <w:fldChar w:fldCharType="begin"/>
        </w:r>
        <w:r>
          <w:instrText xml:space="preserve"> PAGE   \* MERGEFORMAT </w:instrText>
        </w:r>
        <w:r>
          <w:fldChar w:fldCharType="separate"/>
        </w:r>
        <w:r w:rsidR="008344F0">
          <w:rPr>
            <w:noProof/>
          </w:rPr>
          <w:t>2</w:t>
        </w:r>
        <w:r>
          <w:rPr>
            <w:noProof/>
          </w:rPr>
          <w:fldChar w:fldCharType="end"/>
        </w:r>
      </w:p>
    </w:sdtContent>
  </w:sdt>
  <w:p w14:paraId="2C8527DB" w14:textId="77777777" w:rsidR="001C3A97" w:rsidRDefault="001C3A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B90A1" w14:textId="77777777" w:rsidR="001C3A97" w:rsidRDefault="001C3A97" w:rsidP="004E4450">
      <w:pPr>
        <w:spacing w:after="0" w:line="240" w:lineRule="auto"/>
      </w:pPr>
      <w:r>
        <w:separator/>
      </w:r>
    </w:p>
  </w:footnote>
  <w:footnote w:type="continuationSeparator" w:id="0">
    <w:p w14:paraId="253399E9" w14:textId="77777777" w:rsidR="001C3A97" w:rsidRDefault="001C3A97" w:rsidP="004E4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0213" w14:textId="15CF5CE6" w:rsidR="00485DA1" w:rsidRDefault="008B3353" w:rsidP="00485DA1">
    <w:pPr>
      <w:pStyle w:val="Header"/>
      <w:jc w:val="right"/>
      <w:rPr>
        <w:i/>
        <w:smallCaps w:val="0"/>
      </w:rPr>
    </w:pPr>
    <w:r>
      <w:rPr>
        <w:i/>
        <w:smallCaps w:val="0"/>
      </w:rPr>
      <w:t>WIOA Implementation Portal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0555E"/>
    <w:multiLevelType w:val="hybridMultilevel"/>
    <w:tmpl w:val="AD2AB33E"/>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D7B45"/>
    <w:multiLevelType w:val="hybridMultilevel"/>
    <w:tmpl w:val="34C01250"/>
    <w:lvl w:ilvl="0" w:tplc="1B285472">
      <w:start w:val="16"/>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5E8"/>
    <w:multiLevelType w:val="hybridMultilevel"/>
    <w:tmpl w:val="13DC2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36B7"/>
    <w:multiLevelType w:val="hybridMultilevel"/>
    <w:tmpl w:val="70FCEC02"/>
    <w:lvl w:ilvl="0" w:tplc="D02CD092">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001A7"/>
    <w:multiLevelType w:val="hybridMultilevel"/>
    <w:tmpl w:val="CDEA0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E600D"/>
    <w:multiLevelType w:val="hybridMultilevel"/>
    <w:tmpl w:val="3BD8547E"/>
    <w:lvl w:ilvl="0" w:tplc="CF4C34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CA2D6D"/>
    <w:multiLevelType w:val="hybridMultilevel"/>
    <w:tmpl w:val="51DC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035EB"/>
    <w:multiLevelType w:val="hybridMultilevel"/>
    <w:tmpl w:val="251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A724C5"/>
    <w:multiLevelType w:val="hybridMultilevel"/>
    <w:tmpl w:val="FF6A32FC"/>
    <w:lvl w:ilvl="0" w:tplc="A6A0BC1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C152B5A"/>
    <w:multiLevelType w:val="hybridMultilevel"/>
    <w:tmpl w:val="F5E62D94"/>
    <w:lvl w:ilvl="0" w:tplc="CCE644F4">
      <w:start w:val="1"/>
      <w:numFmt w:val="decimal"/>
      <w:lvlText w:val="%1."/>
      <w:lvlJc w:val="left"/>
      <w:pPr>
        <w:ind w:left="360" w:hanging="360"/>
      </w:pPr>
      <w:rPr>
        <w:b w:val="0"/>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970FA0"/>
    <w:multiLevelType w:val="hybridMultilevel"/>
    <w:tmpl w:val="F34644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A20D29"/>
    <w:multiLevelType w:val="hybridMultilevel"/>
    <w:tmpl w:val="2C7AC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924EDF"/>
    <w:multiLevelType w:val="hybridMultilevel"/>
    <w:tmpl w:val="704CB62A"/>
    <w:lvl w:ilvl="0" w:tplc="0E9CFD18">
      <w:start w:val="1"/>
      <w:numFmt w:val="decimal"/>
      <w:lvlText w:val="%1."/>
      <w:lvlJc w:val="left"/>
      <w:pPr>
        <w:ind w:left="360" w:hanging="360"/>
      </w:pPr>
      <w:rPr>
        <w:rFonts w:hint="default"/>
        <w:b w:val="0"/>
      </w:rPr>
    </w:lvl>
    <w:lvl w:ilvl="1" w:tplc="6D42E9E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E3973F6"/>
    <w:multiLevelType w:val="hybridMultilevel"/>
    <w:tmpl w:val="D514116A"/>
    <w:lvl w:ilvl="0" w:tplc="D02CD092">
      <w:start w:val="9"/>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B06EF"/>
    <w:multiLevelType w:val="hybridMultilevel"/>
    <w:tmpl w:val="8450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913EE5"/>
    <w:multiLevelType w:val="hybridMultilevel"/>
    <w:tmpl w:val="31108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31328"/>
    <w:multiLevelType w:val="hybridMultilevel"/>
    <w:tmpl w:val="AA6458E8"/>
    <w:lvl w:ilvl="0" w:tplc="2188A9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53401"/>
    <w:multiLevelType w:val="hybridMultilevel"/>
    <w:tmpl w:val="99387AE8"/>
    <w:lvl w:ilvl="0" w:tplc="9692DB6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CE53C2C"/>
    <w:multiLevelType w:val="hybridMultilevel"/>
    <w:tmpl w:val="E0441DF8"/>
    <w:lvl w:ilvl="0" w:tplc="E8E8A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F975AB"/>
    <w:multiLevelType w:val="hybridMultilevel"/>
    <w:tmpl w:val="4A2E5712"/>
    <w:lvl w:ilvl="0" w:tplc="BE1CA7B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4"/>
  </w:num>
  <w:num w:numId="4">
    <w:abstractNumId w:val="16"/>
  </w:num>
  <w:num w:numId="5">
    <w:abstractNumId w:val="6"/>
  </w:num>
  <w:num w:numId="6">
    <w:abstractNumId w:val="14"/>
  </w:num>
  <w:num w:numId="7">
    <w:abstractNumId w:val="7"/>
  </w:num>
  <w:num w:numId="8">
    <w:abstractNumId w:val="10"/>
  </w:num>
  <w:num w:numId="9">
    <w:abstractNumId w:val="17"/>
  </w:num>
  <w:num w:numId="10">
    <w:abstractNumId w:val="3"/>
  </w:num>
  <w:num w:numId="11">
    <w:abstractNumId w:val="13"/>
  </w:num>
  <w:num w:numId="12">
    <w:abstractNumId w:val="8"/>
  </w:num>
  <w:num w:numId="13">
    <w:abstractNumId w:val="1"/>
  </w:num>
  <w:num w:numId="14">
    <w:abstractNumId w:val="2"/>
  </w:num>
  <w:num w:numId="15">
    <w:abstractNumId w:val="15"/>
  </w:num>
  <w:num w:numId="16">
    <w:abstractNumId w:val="5"/>
  </w:num>
  <w:num w:numId="17">
    <w:abstractNumId w:val="11"/>
  </w:num>
  <w:num w:numId="18">
    <w:abstractNumId w:val="18"/>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9AC"/>
    <w:rsid w:val="000010E0"/>
    <w:rsid w:val="00002C83"/>
    <w:rsid w:val="00006DF7"/>
    <w:rsid w:val="00013D0B"/>
    <w:rsid w:val="00020BD5"/>
    <w:rsid w:val="00020D7D"/>
    <w:rsid w:val="00023524"/>
    <w:rsid w:val="00025F76"/>
    <w:rsid w:val="00035111"/>
    <w:rsid w:val="000438EB"/>
    <w:rsid w:val="0008199E"/>
    <w:rsid w:val="00081EE5"/>
    <w:rsid w:val="000966F5"/>
    <w:rsid w:val="000A086E"/>
    <w:rsid w:val="000B0F8D"/>
    <w:rsid w:val="000B3265"/>
    <w:rsid w:val="000C5326"/>
    <w:rsid w:val="000E0272"/>
    <w:rsid w:val="000E420F"/>
    <w:rsid w:val="000F41DB"/>
    <w:rsid w:val="00100CCB"/>
    <w:rsid w:val="001109FE"/>
    <w:rsid w:val="00112F0B"/>
    <w:rsid w:val="001151EF"/>
    <w:rsid w:val="001168E0"/>
    <w:rsid w:val="00117168"/>
    <w:rsid w:val="001252D6"/>
    <w:rsid w:val="00141B3D"/>
    <w:rsid w:val="001430C0"/>
    <w:rsid w:val="0015727C"/>
    <w:rsid w:val="00164B97"/>
    <w:rsid w:val="001813EC"/>
    <w:rsid w:val="00185A22"/>
    <w:rsid w:val="00187C7E"/>
    <w:rsid w:val="00194C16"/>
    <w:rsid w:val="00197617"/>
    <w:rsid w:val="001A6F2F"/>
    <w:rsid w:val="001B115C"/>
    <w:rsid w:val="001B4080"/>
    <w:rsid w:val="001B6E81"/>
    <w:rsid w:val="001C350C"/>
    <w:rsid w:val="001C3A97"/>
    <w:rsid w:val="001C4E07"/>
    <w:rsid w:val="001D7EE3"/>
    <w:rsid w:val="001E0F2C"/>
    <w:rsid w:val="001F31DA"/>
    <w:rsid w:val="00203C1F"/>
    <w:rsid w:val="002147D1"/>
    <w:rsid w:val="00214EA2"/>
    <w:rsid w:val="0021786D"/>
    <w:rsid w:val="0022775B"/>
    <w:rsid w:val="00230088"/>
    <w:rsid w:val="002400D0"/>
    <w:rsid w:val="00251E11"/>
    <w:rsid w:val="002560DA"/>
    <w:rsid w:val="00260351"/>
    <w:rsid w:val="002615C2"/>
    <w:rsid w:val="00271B29"/>
    <w:rsid w:val="0027411E"/>
    <w:rsid w:val="00283B04"/>
    <w:rsid w:val="00285675"/>
    <w:rsid w:val="002B0C9B"/>
    <w:rsid w:val="002B4B2E"/>
    <w:rsid w:val="002D0124"/>
    <w:rsid w:val="002F70C6"/>
    <w:rsid w:val="0031334D"/>
    <w:rsid w:val="003200FE"/>
    <w:rsid w:val="00334E16"/>
    <w:rsid w:val="003424B6"/>
    <w:rsid w:val="00374F06"/>
    <w:rsid w:val="00383775"/>
    <w:rsid w:val="0038460F"/>
    <w:rsid w:val="003859EA"/>
    <w:rsid w:val="00387A18"/>
    <w:rsid w:val="00396CE5"/>
    <w:rsid w:val="003A2BDA"/>
    <w:rsid w:val="003A7240"/>
    <w:rsid w:val="003B446A"/>
    <w:rsid w:val="003B56A0"/>
    <w:rsid w:val="003D2FCB"/>
    <w:rsid w:val="003D3CD4"/>
    <w:rsid w:val="003E0E5E"/>
    <w:rsid w:val="003E78A4"/>
    <w:rsid w:val="004037D0"/>
    <w:rsid w:val="0040549A"/>
    <w:rsid w:val="004165E6"/>
    <w:rsid w:val="0042686C"/>
    <w:rsid w:val="00427B73"/>
    <w:rsid w:val="004303F1"/>
    <w:rsid w:val="00432158"/>
    <w:rsid w:val="00437115"/>
    <w:rsid w:val="00443B1D"/>
    <w:rsid w:val="0044710D"/>
    <w:rsid w:val="00472783"/>
    <w:rsid w:val="00474CC2"/>
    <w:rsid w:val="00485DA1"/>
    <w:rsid w:val="004872BD"/>
    <w:rsid w:val="004A1D90"/>
    <w:rsid w:val="004B1939"/>
    <w:rsid w:val="004B62AA"/>
    <w:rsid w:val="004C3973"/>
    <w:rsid w:val="004E4450"/>
    <w:rsid w:val="005029F7"/>
    <w:rsid w:val="00502F98"/>
    <w:rsid w:val="0052419C"/>
    <w:rsid w:val="0052488E"/>
    <w:rsid w:val="00543715"/>
    <w:rsid w:val="00544589"/>
    <w:rsid w:val="0055275C"/>
    <w:rsid w:val="00557413"/>
    <w:rsid w:val="0056750B"/>
    <w:rsid w:val="00570B23"/>
    <w:rsid w:val="0057531E"/>
    <w:rsid w:val="00577E41"/>
    <w:rsid w:val="00591225"/>
    <w:rsid w:val="00592E88"/>
    <w:rsid w:val="005A2F9E"/>
    <w:rsid w:val="005A3647"/>
    <w:rsid w:val="006159AC"/>
    <w:rsid w:val="00643303"/>
    <w:rsid w:val="00643535"/>
    <w:rsid w:val="006640E5"/>
    <w:rsid w:val="00673D02"/>
    <w:rsid w:val="00674969"/>
    <w:rsid w:val="00681174"/>
    <w:rsid w:val="006A4311"/>
    <w:rsid w:val="006A5696"/>
    <w:rsid w:val="006B1CC8"/>
    <w:rsid w:val="006C0A22"/>
    <w:rsid w:val="006D43C6"/>
    <w:rsid w:val="006E2374"/>
    <w:rsid w:val="006E5821"/>
    <w:rsid w:val="0071255E"/>
    <w:rsid w:val="00716C51"/>
    <w:rsid w:val="00727029"/>
    <w:rsid w:val="00734EC4"/>
    <w:rsid w:val="00742399"/>
    <w:rsid w:val="00782D41"/>
    <w:rsid w:val="007900BA"/>
    <w:rsid w:val="00792E7C"/>
    <w:rsid w:val="007A6146"/>
    <w:rsid w:val="007E710C"/>
    <w:rsid w:val="007F0040"/>
    <w:rsid w:val="007F4AB0"/>
    <w:rsid w:val="007F66A6"/>
    <w:rsid w:val="00802970"/>
    <w:rsid w:val="00804337"/>
    <w:rsid w:val="008068FC"/>
    <w:rsid w:val="00815433"/>
    <w:rsid w:val="008220CA"/>
    <w:rsid w:val="0082235C"/>
    <w:rsid w:val="00824439"/>
    <w:rsid w:val="00826FB2"/>
    <w:rsid w:val="008344F0"/>
    <w:rsid w:val="0083485E"/>
    <w:rsid w:val="00867581"/>
    <w:rsid w:val="0088758C"/>
    <w:rsid w:val="008A4F42"/>
    <w:rsid w:val="008B3353"/>
    <w:rsid w:val="008B4C88"/>
    <w:rsid w:val="008B58F2"/>
    <w:rsid w:val="008B742D"/>
    <w:rsid w:val="008C12C7"/>
    <w:rsid w:val="008E251B"/>
    <w:rsid w:val="008E3EC0"/>
    <w:rsid w:val="008E4039"/>
    <w:rsid w:val="008F3F27"/>
    <w:rsid w:val="0093031C"/>
    <w:rsid w:val="00930D98"/>
    <w:rsid w:val="009335F6"/>
    <w:rsid w:val="009436FC"/>
    <w:rsid w:val="00944797"/>
    <w:rsid w:val="00946E0E"/>
    <w:rsid w:val="0095403D"/>
    <w:rsid w:val="0095445C"/>
    <w:rsid w:val="009544DE"/>
    <w:rsid w:val="0095523C"/>
    <w:rsid w:val="00955AA4"/>
    <w:rsid w:val="0095782E"/>
    <w:rsid w:val="0096640D"/>
    <w:rsid w:val="00990F23"/>
    <w:rsid w:val="009B10C3"/>
    <w:rsid w:val="009B7E56"/>
    <w:rsid w:val="009C07FD"/>
    <w:rsid w:val="009C30BD"/>
    <w:rsid w:val="009E6A5A"/>
    <w:rsid w:val="00A53FA4"/>
    <w:rsid w:val="00A73F35"/>
    <w:rsid w:val="00A74A16"/>
    <w:rsid w:val="00A74DEB"/>
    <w:rsid w:val="00A91254"/>
    <w:rsid w:val="00AA20A7"/>
    <w:rsid w:val="00AA52B7"/>
    <w:rsid w:val="00AC7714"/>
    <w:rsid w:val="00AE4D0F"/>
    <w:rsid w:val="00AE68DF"/>
    <w:rsid w:val="00AF15D2"/>
    <w:rsid w:val="00B0252A"/>
    <w:rsid w:val="00B0477F"/>
    <w:rsid w:val="00B17369"/>
    <w:rsid w:val="00B21F2E"/>
    <w:rsid w:val="00B242F0"/>
    <w:rsid w:val="00B4068F"/>
    <w:rsid w:val="00B41FD0"/>
    <w:rsid w:val="00B70416"/>
    <w:rsid w:val="00B73124"/>
    <w:rsid w:val="00B92F2F"/>
    <w:rsid w:val="00B958EC"/>
    <w:rsid w:val="00BA2704"/>
    <w:rsid w:val="00BA3CE0"/>
    <w:rsid w:val="00BB7470"/>
    <w:rsid w:val="00BF5A0B"/>
    <w:rsid w:val="00BF7B05"/>
    <w:rsid w:val="00C17D51"/>
    <w:rsid w:val="00C20D51"/>
    <w:rsid w:val="00C2631F"/>
    <w:rsid w:val="00C457DC"/>
    <w:rsid w:val="00C50CAC"/>
    <w:rsid w:val="00C57405"/>
    <w:rsid w:val="00C670ED"/>
    <w:rsid w:val="00C718E5"/>
    <w:rsid w:val="00C854C2"/>
    <w:rsid w:val="00C873AB"/>
    <w:rsid w:val="00C93D46"/>
    <w:rsid w:val="00C94171"/>
    <w:rsid w:val="00CA34B7"/>
    <w:rsid w:val="00CA7FEA"/>
    <w:rsid w:val="00CB76C6"/>
    <w:rsid w:val="00CC34A0"/>
    <w:rsid w:val="00CC5FA7"/>
    <w:rsid w:val="00CC714B"/>
    <w:rsid w:val="00CD17C4"/>
    <w:rsid w:val="00CD52E6"/>
    <w:rsid w:val="00CD5406"/>
    <w:rsid w:val="00CE5E87"/>
    <w:rsid w:val="00CE7FA9"/>
    <w:rsid w:val="00CF206C"/>
    <w:rsid w:val="00D045D2"/>
    <w:rsid w:val="00D07A73"/>
    <w:rsid w:val="00D228DB"/>
    <w:rsid w:val="00D23080"/>
    <w:rsid w:val="00D250EB"/>
    <w:rsid w:val="00D33B2A"/>
    <w:rsid w:val="00D64439"/>
    <w:rsid w:val="00D7672F"/>
    <w:rsid w:val="00D90812"/>
    <w:rsid w:val="00D96097"/>
    <w:rsid w:val="00DB7093"/>
    <w:rsid w:val="00DD19E3"/>
    <w:rsid w:val="00DD551D"/>
    <w:rsid w:val="00DE23A6"/>
    <w:rsid w:val="00DE3D36"/>
    <w:rsid w:val="00DF3D79"/>
    <w:rsid w:val="00DF7650"/>
    <w:rsid w:val="00E065FD"/>
    <w:rsid w:val="00E108A2"/>
    <w:rsid w:val="00E200CE"/>
    <w:rsid w:val="00E42B31"/>
    <w:rsid w:val="00E47913"/>
    <w:rsid w:val="00E52B4F"/>
    <w:rsid w:val="00E6111C"/>
    <w:rsid w:val="00E64949"/>
    <w:rsid w:val="00E860EC"/>
    <w:rsid w:val="00E86475"/>
    <w:rsid w:val="00EA07C2"/>
    <w:rsid w:val="00EB40BC"/>
    <w:rsid w:val="00EB4B42"/>
    <w:rsid w:val="00EC09D8"/>
    <w:rsid w:val="00EE36AA"/>
    <w:rsid w:val="00EF0F54"/>
    <w:rsid w:val="00EF1FE3"/>
    <w:rsid w:val="00F033E6"/>
    <w:rsid w:val="00F229AC"/>
    <w:rsid w:val="00F35FD8"/>
    <w:rsid w:val="00F45894"/>
    <w:rsid w:val="00F639E2"/>
    <w:rsid w:val="00F86779"/>
    <w:rsid w:val="00FC16EC"/>
    <w:rsid w:val="00FC560A"/>
    <w:rsid w:val="00FC68EB"/>
    <w:rsid w:val="00FD7928"/>
    <w:rsid w:val="00FE2861"/>
    <w:rsid w:val="00FE2A82"/>
    <w:rsid w:val="00FE665D"/>
    <w:rsid w:val="00FE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4A86"/>
  <w15:chartTrackingRefBased/>
  <w15:docId w15:val="{5EEA8134-5ABE-404A-894E-31AF3330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9AC"/>
    <w:pPr>
      <w:ind w:left="720"/>
      <w:contextualSpacing/>
    </w:pPr>
  </w:style>
  <w:style w:type="character" w:styleId="Hyperlink">
    <w:name w:val="Hyperlink"/>
    <w:basedOn w:val="DefaultParagraphFont"/>
    <w:uiPriority w:val="99"/>
    <w:unhideWhenUsed/>
    <w:rsid w:val="00CC34A0"/>
    <w:rPr>
      <w:color w:val="0563C1" w:themeColor="hyperlink"/>
      <w:u w:val="single"/>
    </w:rPr>
  </w:style>
  <w:style w:type="character" w:styleId="UnresolvedMention">
    <w:name w:val="Unresolved Mention"/>
    <w:basedOn w:val="DefaultParagraphFont"/>
    <w:uiPriority w:val="99"/>
    <w:semiHidden/>
    <w:unhideWhenUsed/>
    <w:rsid w:val="00CC34A0"/>
    <w:rPr>
      <w:color w:val="808080"/>
      <w:shd w:val="clear" w:color="auto" w:fill="E6E6E6"/>
    </w:rPr>
  </w:style>
  <w:style w:type="paragraph" w:styleId="NoSpacing">
    <w:name w:val="No Spacing"/>
    <w:uiPriority w:val="1"/>
    <w:qFormat/>
    <w:rsid w:val="003424B6"/>
    <w:pPr>
      <w:spacing w:after="0" w:line="240" w:lineRule="auto"/>
    </w:pPr>
  </w:style>
  <w:style w:type="paragraph" w:styleId="Header">
    <w:name w:val="header"/>
    <w:basedOn w:val="Normal"/>
    <w:link w:val="HeaderChar"/>
    <w:uiPriority w:val="99"/>
    <w:unhideWhenUsed/>
    <w:rsid w:val="004E4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450"/>
  </w:style>
  <w:style w:type="paragraph" w:styleId="Footer">
    <w:name w:val="footer"/>
    <w:basedOn w:val="Normal"/>
    <w:link w:val="FooterChar"/>
    <w:uiPriority w:val="99"/>
    <w:unhideWhenUsed/>
    <w:rsid w:val="004E4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450"/>
  </w:style>
  <w:style w:type="character" w:styleId="CommentReference">
    <w:name w:val="annotation reference"/>
    <w:basedOn w:val="DefaultParagraphFont"/>
    <w:uiPriority w:val="99"/>
    <w:semiHidden/>
    <w:unhideWhenUsed/>
    <w:rsid w:val="00334E16"/>
    <w:rPr>
      <w:sz w:val="16"/>
      <w:szCs w:val="16"/>
    </w:rPr>
  </w:style>
  <w:style w:type="paragraph" w:styleId="CommentText">
    <w:name w:val="annotation text"/>
    <w:basedOn w:val="Normal"/>
    <w:link w:val="CommentTextChar"/>
    <w:uiPriority w:val="99"/>
    <w:semiHidden/>
    <w:unhideWhenUsed/>
    <w:rsid w:val="00334E16"/>
    <w:pPr>
      <w:spacing w:line="240" w:lineRule="auto"/>
    </w:pPr>
    <w:rPr>
      <w:sz w:val="20"/>
      <w:szCs w:val="20"/>
    </w:rPr>
  </w:style>
  <w:style w:type="character" w:customStyle="1" w:styleId="CommentTextChar">
    <w:name w:val="Comment Text Char"/>
    <w:basedOn w:val="DefaultParagraphFont"/>
    <w:link w:val="CommentText"/>
    <w:uiPriority w:val="99"/>
    <w:semiHidden/>
    <w:rsid w:val="00334E16"/>
    <w:rPr>
      <w:sz w:val="20"/>
      <w:szCs w:val="20"/>
    </w:rPr>
  </w:style>
  <w:style w:type="paragraph" w:styleId="CommentSubject">
    <w:name w:val="annotation subject"/>
    <w:basedOn w:val="CommentText"/>
    <w:next w:val="CommentText"/>
    <w:link w:val="CommentSubjectChar"/>
    <w:uiPriority w:val="99"/>
    <w:semiHidden/>
    <w:unhideWhenUsed/>
    <w:rsid w:val="00334E16"/>
    <w:rPr>
      <w:b/>
      <w:bCs/>
    </w:rPr>
  </w:style>
  <w:style w:type="character" w:customStyle="1" w:styleId="CommentSubjectChar">
    <w:name w:val="Comment Subject Char"/>
    <w:basedOn w:val="CommentTextChar"/>
    <w:link w:val="CommentSubject"/>
    <w:uiPriority w:val="99"/>
    <w:semiHidden/>
    <w:rsid w:val="00334E16"/>
    <w:rPr>
      <w:b/>
      <w:bCs/>
      <w:sz w:val="20"/>
      <w:szCs w:val="20"/>
    </w:rPr>
  </w:style>
  <w:style w:type="paragraph" w:styleId="BalloonText">
    <w:name w:val="Balloon Text"/>
    <w:basedOn w:val="Normal"/>
    <w:link w:val="BalloonTextChar"/>
    <w:uiPriority w:val="99"/>
    <w:semiHidden/>
    <w:unhideWhenUsed/>
    <w:rsid w:val="0033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16"/>
    <w:rPr>
      <w:rFonts w:ascii="Segoe UI" w:hAnsi="Segoe UI" w:cs="Segoe UI"/>
      <w:sz w:val="18"/>
      <w:szCs w:val="18"/>
    </w:rPr>
  </w:style>
  <w:style w:type="paragraph" w:styleId="FootnoteText">
    <w:name w:val="footnote text"/>
    <w:basedOn w:val="Normal"/>
    <w:link w:val="FootnoteTextChar"/>
    <w:uiPriority w:val="99"/>
    <w:semiHidden/>
    <w:unhideWhenUsed/>
    <w:rsid w:val="00CA7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7FEA"/>
    <w:rPr>
      <w:sz w:val="20"/>
      <w:szCs w:val="20"/>
    </w:rPr>
  </w:style>
  <w:style w:type="character" w:styleId="FootnoteReference">
    <w:name w:val="footnote reference"/>
    <w:basedOn w:val="DefaultParagraphFont"/>
    <w:uiPriority w:val="99"/>
    <w:semiHidden/>
    <w:unhideWhenUsed/>
    <w:rsid w:val="00CA7FEA"/>
    <w:rPr>
      <w:vertAlign w:val="superscript"/>
    </w:rPr>
  </w:style>
  <w:style w:type="character" w:styleId="FollowedHyperlink">
    <w:name w:val="FollowedHyperlink"/>
    <w:basedOn w:val="DefaultParagraphFont"/>
    <w:uiPriority w:val="99"/>
    <w:semiHidden/>
    <w:unhideWhenUsed/>
    <w:rsid w:val="008A4F42"/>
    <w:rPr>
      <w:color w:val="954F72" w:themeColor="followedHyperlink"/>
      <w:u w:val="single"/>
    </w:rPr>
  </w:style>
  <w:style w:type="paragraph" w:customStyle="1" w:styleId="Default">
    <w:name w:val="Default"/>
    <w:rsid w:val="001C350C"/>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4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s@kebcp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baker@illinois.gov"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WD-wioaplan@ad.siu.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21</MainCategory>
    <Site xmlns="9352c220-c5aa-4176-b310-478a54cdcce0">
      <Value>4</Value>
    </Site>
    <SubCategory xmlns="9352c220-c5aa-4176-b310-478a54cdcce0">79</SubCategory>
    <SkillLevel xmlns="9352c220-c5aa-4176-b310-478a54cdcce0">
      <Value>Technical skill level</Value>
    </SkillLevel>
    <Audience xmlns="9352c220-c5aa-4176-b310-478a54cdcce0">
      <Value>3</Value>
    </Audience>
    <TaxKeywordTaxHTField xmlns="6e83a1a5-9dab-4521-85db-ea3c8196acb3">
      <Terms xmlns="http://schemas.microsoft.com/office/infopath/2007/PartnerControls"/>
    </TaxKeywordTaxHTField>
    <SubAudience xmlns="9352c220-c5aa-4176-b310-478a54cdcce0"/>
    <Language xmlns="9352c220-c5aa-4176-b310-478a54cdcce0">English</Language>
    <DocumentType xmlns="9352c220-c5aa-4176-b310-478a54cdcce0">
      <Value>Informational</Value>
    </DocumentType>
    <TaxCatchAll xmlns="6e83a1a5-9dab-4521-85db-ea3c8196acb3"/>
    <Description0 xmlns="9352c220-c5aa-4176-b310-478a54cdcce0">FAQ to Support Governor's Guidelines - Revision 4  - Final</Description0>
    <GradeLevel xmlns="9352c220-c5aa-4176-b310-478a54cdcce0">
      <Value>&gt;12 Postsecondary</Value>
    </GradeLevel>
  </documentManagement>
</p:properties>
</file>

<file path=customXml/itemProps1.xml><?xml version="1.0" encoding="utf-8"?>
<ds:datastoreItem xmlns:ds="http://schemas.openxmlformats.org/officeDocument/2006/customXml" ds:itemID="{85772DB7-5FD0-49BC-808E-6D80D1B4AA90}"/>
</file>

<file path=customXml/itemProps2.xml><?xml version="1.0" encoding="utf-8"?>
<ds:datastoreItem xmlns:ds="http://schemas.openxmlformats.org/officeDocument/2006/customXml" ds:itemID="{17ED9AD5-04CE-4D9E-A3D7-C4CD08F01393}"/>
</file>

<file path=customXml/itemProps3.xml><?xml version="1.0" encoding="utf-8"?>
<ds:datastoreItem xmlns:ds="http://schemas.openxmlformats.org/officeDocument/2006/customXml" ds:itemID="{7E3436EE-FA5A-4219-B1B4-BC9CFA518DE4}"/>
</file>

<file path=docProps/app.xml><?xml version="1.0" encoding="utf-8"?>
<Properties xmlns="http://schemas.openxmlformats.org/officeDocument/2006/extended-properties" xmlns:vt="http://schemas.openxmlformats.org/officeDocument/2006/docPropsVTypes">
  <Template>Normal.dotm</Template>
  <TotalTime>12</TotalTime>
  <Pages>4</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to Support Governor's Guidelines - Revision 4  - Final</dc:title>
  <dc:subject/>
  <dc:creator>Jones, Kristi</dc:creator>
  <cp:keywords/>
  <dc:description/>
  <cp:lastModifiedBy>Sweatman, Cameron</cp:lastModifiedBy>
  <cp:revision>3</cp:revision>
  <dcterms:created xsi:type="dcterms:W3CDTF">2019-11-18T16:18:00Z</dcterms:created>
  <dcterms:modified xsi:type="dcterms:W3CDTF">2019-11-19T22:06:00Z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