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2C934" w14:textId="77777777" w:rsidR="002A71EA" w:rsidRPr="002A71EA" w:rsidRDefault="002A71EA" w:rsidP="002A7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t>Report of Outcomes</w:t>
      </w:r>
    </w:p>
    <w:p w14:paraId="19ED97C0" w14:textId="77777777" w:rsidR="002A71EA" w:rsidRPr="002A71EA" w:rsidRDefault="002A71EA" w:rsidP="002A7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Outcome Report of Annual Budget Negotiations for PY </w:t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instrText xml:space="preserve"> FORMTEXT </w:instrText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fldChar w:fldCharType="separate"/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t> </w:t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t> </w:t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t> </w:t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t> </w:t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t> </w:t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fldChar w:fldCharType="end"/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 (SFY </w:t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instrText xml:space="preserve"> FORMTEXT </w:instrText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fldChar w:fldCharType="separate"/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t> </w:t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t> </w:t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t> </w:t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t> </w:t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t> </w:t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fldChar w:fldCharType="end"/>
      </w: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t>)</w:t>
      </w:r>
    </w:p>
    <w:p w14:paraId="4AE35BA5" w14:textId="77777777" w:rsidR="002A71EA" w:rsidRPr="002A71EA" w:rsidRDefault="002A71EA" w:rsidP="002A71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395"/>
      </w:tblGrid>
      <w:tr w:rsidR="002A71EA" w:rsidRPr="002A71EA" w14:paraId="50BC34CE" w14:textId="77777777" w:rsidTr="00214DAA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F99F1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Local Workforce Innovation Area: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639854588"/>
            <w:placeholder>
              <w:docPart w:val="0870BCB3757F4CF3A1225238E5FAFA21"/>
            </w:placeholder>
            <w:showingPlcHdr/>
          </w:sdtPr>
          <w:sdtContent>
            <w:tc>
              <w:tcPr>
                <w:tcW w:w="5395" w:type="dxa"/>
                <w:tcBorders>
                  <w:top w:val="single" w:sz="4" w:space="0" w:color="FFFFFF"/>
                  <w:left w:val="nil"/>
                  <w:right w:val="single" w:sz="4" w:space="0" w:color="FFFFFF"/>
                </w:tcBorders>
                <w:shd w:val="clear" w:color="auto" w:fill="auto"/>
                <w:vAlign w:val="bottom"/>
              </w:tcPr>
              <w:p w14:paraId="16017397" w14:textId="77777777" w:rsidR="002A71EA" w:rsidRPr="002A71EA" w:rsidRDefault="002A71EA" w:rsidP="002A71EA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2A71EA">
                  <w:rPr>
                    <w:rFonts w:ascii="Times New Roman" w:eastAsia="Calibri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F42B194" w14:textId="77777777" w:rsidR="002A71EA" w:rsidRPr="002A71EA" w:rsidRDefault="002A71EA" w:rsidP="002A71E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A36671" w14:textId="77777777" w:rsidR="002A71EA" w:rsidRPr="002A71EA" w:rsidRDefault="002A71EA" w:rsidP="002A71EA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291279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71EA">
            <w:rPr>
              <w:rFonts w:ascii="Segoe UI Symbol" w:eastAsia="Calibri" w:hAnsi="Segoe UI Symbol" w:cs="Segoe UI Symbol"/>
              <w:b/>
              <w:sz w:val="24"/>
              <w:szCs w:val="24"/>
            </w:rPr>
            <w:t>☐</w:t>
          </w:r>
        </w:sdtContent>
      </w:sdt>
      <w:r w:rsidRPr="002A71EA">
        <w:rPr>
          <w:rFonts w:ascii="Times New Roman" w:eastAsia="Calibri" w:hAnsi="Times New Roman" w:cs="Times New Roman"/>
          <w:b/>
          <w:sz w:val="24"/>
          <w:szCs w:val="24"/>
        </w:rPr>
        <w:tab/>
        <w:t>Notice is provided to the Governor as required by 20 CFR 678.725 that required partners in this local area have reached agreement on an annual one-stop operating budget, including how infrastructure costs will be funded for each service location for the year beginning July 1;</w:t>
      </w:r>
    </w:p>
    <w:p w14:paraId="439DB133" w14:textId="77777777" w:rsidR="002A71EA" w:rsidRPr="002A71EA" w:rsidRDefault="002A71EA" w:rsidP="002A71E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A3DB8E" w14:textId="77777777" w:rsidR="002A71EA" w:rsidRPr="002A71EA" w:rsidRDefault="002A71EA" w:rsidP="002A71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1EA">
        <w:rPr>
          <w:rFonts w:ascii="Times New Roman" w:eastAsia="Calibri" w:hAnsi="Times New Roman" w:cs="Times New Roman"/>
          <w:sz w:val="24"/>
          <w:szCs w:val="24"/>
        </w:rPr>
        <w:t>OR</w:t>
      </w:r>
    </w:p>
    <w:p w14:paraId="102A8AE4" w14:textId="77777777" w:rsidR="002A71EA" w:rsidRPr="002A71EA" w:rsidRDefault="002A71EA" w:rsidP="002A71E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1EF810" w14:textId="77777777" w:rsidR="002A71EA" w:rsidRPr="002A71EA" w:rsidRDefault="002A71EA" w:rsidP="002A71EA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771466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71EA">
            <w:rPr>
              <w:rFonts w:ascii="Segoe UI Symbol" w:eastAsia="Calibri" w:hAnsi="Segoe UI Symbol" w:cs="Segoe UI Symbol"/>
              <w:b/>
              <w:sz w:val="24"/>
              <w:szCs w:val="24"/>
            </w:rPr>
            <w:t>☐</w:t>
          </w:r>
        </w:sdtContent>
      </w:sdt>
      <w:r w:rsidRPr="002A71EA">
        <w:rPr>
          <w:rFonts w:ascii="Times New Roman" w:eastAsia="Calibri" w:hAnsi="Times New Roman" w:cs="Times New Roman"/>
          <w:b/>
          <w:sz w:val="24"/>
          <w:szCs w:val="24"/>
        </w:rPr>
        <w:tab/>
        <w:t>Notice is provided to the Governor as required by 20 CFR 678.725 that, despite every effort, required partners in this local area did not reach agreement on an annual one-stop operating budget for the period beginning July 1.</w:t>
      </w:r>
    </w:p>
    <w:p w14:paraId="7E1F503B" w14:textId="77777777" w:rsidR="002A71EA" w:rsidRPr="002A71EA" w:rsidRDefault="002A71EA" w:rsidP="002A71EA">
      <w:pPr>
        <w:tabs>
          <w:tab w:val="left" w:pos="7593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71E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71E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255E025" w14:textId="77777777" w:rsidR="002A71EA" w:rsidRPr="002A71EA" w:rsidRDefault="002A71EA" w:rsidP="002A71EA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1EA">
        <w:rPr>
          <w:rFonts w:ascii="Times New Roman" w:eastAsia="Calibri" w:hAnsi="Times New Roman" w:cs="Times New Roman"/>
          <w:b/>
          <w:sz w:val="24"/>
          <w:szCs w:val="24"/>
        </w:rPr>
        <w:t>Select which reason for disagreement applies.</w:t>
      </w:r>
    </w:p>
    <w:p w14:paraId="0384B6E6" w14:textId="77777777" w:rsidR="002A71EA" w:rsidRPr="002A71EA" w:rsidRDefault="002A71EA" w:rsidP="002A71E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6945A9" w14:textId="77777777" w:rsidR="002A71EA" w:rsidRPr="002A71EA" w:rsidRDefault="002A71EA" w:rsidP="002A71E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71EA">
        <w:rPr>
          <w:rFonts w:ascii="Times New Roman" w:eastAsia="Calibri" w:hAnsi="Times New Roman" w:cs="Times New Roman"/>
          <w:sz w:val="24"/>
          <w:szCs w:val="24"/>
        </w:rPr>
        <w:tab/>
      </w:r>
      <w:r w:rsidRPr="002A71E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Failure to agree for reasons </w:t>
      </w:r>
      <w:r w:rsidRPr="002A71E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other</w:t>
      </w:r>
      <w:r w:rsidRPr="002A71E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than infrastructure costs</w:t>
      </w:r>
    </w:p>
    <w:p w14:paraId="02A22F67" w14:textId="77777777" w:rsidR="002A71EA" w:rsidRPr="002A71EA" w:rsidRDefault="002A71EA" w:rsidP="002A71E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012F14" w14:textId="77777777" w:rsidR="002A71EA" w:rsidRPr="002A71EA" w:rsidRDefault="002A71EA" w:rsidP="002A71EA">
      <w:pPr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106303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71EA">
            <w:rPr>
              <w:rFonts w:ascii="Segoe UI Symbol" w:eastAsia="Calibri" w:hAnsi="Segoe UI Symbol" w:cs="Segoe UI Symbol"/>
              <w:b/>
              <w:sz w:val="24"/>
              <w:szCs w:val="24"/>
            </w:rPr>
            <w:t>☐</w:t>
          </w:r>
        </w:sdtContent>
      </w:sdt>
      <w:r w:rsidRPr="002A71EA">
        <w:rPr>
          <w:rFonts w:ascii="Times New Roman" w:eastAsia="Calibri" w:hAnsi="Times New Roman" w:cs="Times New Roman"/>
          <w:sz w:val="24"/>
          <w:szCs w:val="24"/>
        </w:rPr>
        <w:t xml:space="preserve"> Listed below are the program partners that did not agree and a summary of the main reasons for their inability to agree.</w:t>
      </w:r>
    </w:p>
    <w:p w14:paraId="7F77CFA1" w14:textId="77777777" w:rsidR="002A71EA" w:rsidRPr="002A71EA" w:rsidRDefault="002A71EA" w:rsidP="002A71E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A71EA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1"/>
        <w:gridCol w:w="4579"/>
      </w:tblGrid>
      <w:tr w:rsidR="002A71EA" w:rsidRPr="002A71EA" w14:paraId="3B67BF62" w14:textId="77777777" w:rsidTr="00214DAA">
        <w:trPr>
          <w:tblHeader/>
        </w:trPr>
        <w:tc>
          <w:tcPr>
            <w:tcW w:w="4231" w:type="dxa"/>
            <w:shd w:val="clear" w:color="auto" w:fill="auto"/>
          </w:tcPr>
          <w:p w14:paraId="326561A1" w14:textId="77777777" w:rsidR="002A71EA" w:rsidRPr="002A71EA" w:rsidRDefault="002A71EA" w:rsidP="002A7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 Partner Name</w:t>
            </w:r>
          </w:p>
        </w:tc>
        <w:tc>
          <w:tcPr>
            <w:tcW w:w="4579" w:type="dxa"/>
            <w:shd w:val="clear" w:color="auto" w:fill="auto"/>
          </w:tcPr>
          <w:p w14:paraId="765F26FD" w14:textId="77777777" w:rsidR="002A71EA" w:rsidRPr="002A71EA" w:rsidRDefault="002A71EA" w:rsidP="002A7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Reasons</w:t>
            </w:r>
          </w:p>
        </w:tc>
      </w:tr>
      <w:tr w:rsidR="002A71EA" w:rsidRPr="002A71EA" w14:paraId="62DBDFD5" w14:textId="77777777" w:rsidTr="00214DAA">
        <w:tc>
          <w:tcPr>
            <w:tcW w:w="4231" w:type="dxa"/>
            <w:shd w:val="clear" w:color="auto" w:fill="auto"/>
          </w:tcPr>
          <w:p w14:paraId="1625D5AA" w14:textId="77777777" w:rsidR="002A71EA" w:rsidRPr="002A71EA" w:rsidRDefault="002A71EA" w:rsidP="002A71EA">
            <w:pPr>
              <w:numPr>
                <w:ilvl w:val="0"/>
                <w:numId w:val="2"/>
              </w:numPr>
              <w:spacing w:after="0" w:line="240" w:lineRule="auto"/>
              <w:ind w:left="3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bookmarkStart w:id="0" w:name="_Hlk528306801"/>
        <w:tc>
          <w:tcPr>
            <w:tcW w:w="4579" w:type="dxa"/>
            <w:shd w:val="clear" w:color="auto" w:fill="auto"/>
          </w:tcPr>
          <w:p w14:paraId="4482A40A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2A71EA" w:rsidRPr="002A71EA" w14:paraId="24796210" w14:textId="77777777" w:rsidTr="00214DAA">
        <w:tc>
          <w:tcPr>
            <w:tcW w:w="4231" w:type="dxa"/>
            <w:shd w:val="clear" w:color="auto" w:fill="auto"/>
          </w:tcPr>
          <w:p w14:paraId="2826E42B" w14:textId="77777777" w:rsidR="002A71EA" w:rsidRPr="002A71EA" w:rsidRDefault="002A71EA" w:rsidP="002A71EA">
            <w:pPr>
              <w:numPr>
                <w:ilvl w:val="0"/>
                <w:numId w:val="2"/>
              </w:numPr>
              <w:spacing w:after="0" w:line="240" w:lineRule="auto"/>
              <w:ind w:left="3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79" w:type="dxa"/>
            <w:shd w:val="clear" w:color="auto" w:fill="auto"/>
          </w:tcPr>
          <w:p w14:paraId="770C0DC6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FB3C079" w14:textId="77777777" w:rsidR="002A71EA" w:rsidRPr="002A71EA" w:rsidRDefault="002A71EA" w:rsidP="002A71E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EBD8CC" w14:textId="77777777" w:rsidR="002A71EA" w:rsidRPr="002A71EA" w:rsidRDefault="002A71EA" w:rsidP="002A71E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71EA">
        <w:rPr>
          <w:rFonts w:ascii="Times New Roman" w:eastAsia="Calibri" w:hAnsi="Times New Roman" w:cs="Times New Roman"/>
          <w:sz w:val="24"/>
          <w:szCs w:val="24"/>
        </w:rPr>
        <w:tab/>
      </w:r>
      <w:bookmarkStart w:id="1" w:name="_Hlk494784910"/>
      <w:r w:rsidRPr="002A71EA">
        <w:rPr>
          <w:rFonts w:ascii="Times New Roman" w:eastAsia="Calibri" w:hAnsi="Times New Roman" w:cs="Times New Roman"/>
          <w:b/>
          <w:sz w:val="24"/>
          <w:szCs w:val="24"/>
          <w:u w:val="single"/>
        </w:rPr>
        <w:t>Failure to agree on the Infrastructure Funding Agreement for a service location</w:t>
      </w:r>
    </w:p>
    <w:p w14:paraId="2BE8C0BC" w14:textId="77777777" w:rsidR="002A71EA" w:rsidRPr="002A71EA" w:rsidRDefault="002A71EA" w:rsidP="002A71E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36AFBC" w14:textId="77777777" w:rsidR="002A71EA" w:rsidRPr="002A71EA" w:rsidRDefault="002A71EA" w:rsidP="002A71EA">
      <w:pPr>
        <w:spacing w:after="0" w:line="240" w:lineRule="auto"/>
        <w:ind w:left="1350" w:hanging="6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513136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71EA">
            <w:rPr>
              <w:rFonts w:ascii="Segoe UI Symbol" w:eastAsia="Calibri" w:hAnsi="Segoe UI Symbol" w:cs="Segoe UI Symbol"/>
              <w:b/>
              <w:sz w:val="24"/>
              <w:szCs w:val="24"/>
            </w:rPr>
            <w:t>☐</w:t>
          </w:r>
        </w:sdtContent>
      </w:sdt>
      <w:r w:rsidRPr="002A71EA">
        <w:rPr>
          <w:rFonts w:ascii="Times New Roman" w:eastAsia="Calibri" w:hAnsi="Times New Roman" w:cs="Times New Roman"/>
          <w:sz w:val="24"/>
          <w:szCs w:val="24"/>
        </w:rPr>
        <w:tab/>
        <w:t xml:space="preserve">The inability to reach agreement is because one or more partners do not agree with the Infrastructure Funding Agreement specific to a service location for the program year beginning July 1.  </w:t>
      </w:r>
      <w:bookmarkEnd w:id="1"/>
      <w:r w:rsidRPr="002A71EA">
        <w:rPr>
          <w:rFonts w:ascii="Times New Roman" w:eastAsia="Calibri" w:hAnsi="Times New Roman" w:cs="Times New Roman"/>
          <w:sz w:val="24"/>
          <w:szCs w:val="24"/>
        </w:rPr>
        <w:t>Listed below are the program partners that did not agree to the budget for shared infrastructure costs, the applicable service location and a summary of the reasons for their inability to agree.</w:t>
      </w:r>
    </w:p>
    <w:p w14:paraId="1C00850F" w14:textId="77777777" w:rsidR="002A71EA" w:rsidRPr="002A71EA" w:rsidRDefault="002A71EA" w:rsidP="002A71EA">
      <w:pPr>
        <w:spacing w:after="0" w:line="240" w:lineRule="auto"/>
        <w:ind w:left="2154" w:hanging="6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2"/>
        <w:gridCol w:w="4578"/>
      </w:tblGrid>
      <w:tr w:rsidR="002A71EA" w:rsidRPr="002A71EA" w14:paraId="41C89AF1" w14:textId="77777777" w:rsidTr="00214DAA">
        <w:trPr>
          <w:tblHeader/>
        </w:trPr>
        <w:tc>
          <w:tcPr>
            <w:tcW w:w="4232" w:type="dxa"/>
            <w:shd w:val="clear" w:color="auto" w:fill="auto"/>
          </w:tcPr>
          <w:p w14:paraId="5AFD480B" w14:textId="77777777" w:rsidR="002A71EA" w:rsidRPr="002A71EA" w:rsidRDefault="002A71EA" w:rsidP="002A7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 Partner Name</w:t>
            </w:r>
          </w:p>
        </w:tc>
        <w:tc>
          <w:tcPr>
            <w:tcW w:w="4578" w:type="dxa"/>
            <w:shd w:val="clear" w:color="auto" w:fill="auto"/>
          </w:tcPr>
          <w:p w14:paraId="41C1C5A8" w14:textId="77777777" w:rsidR="002A71EA" w:rsidRPr="002A71EA" w:rsidRDefault="002A71EA" w:rsidP="002A7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Reasons</w:t>
            </w:r>
          </w:p>
        </w:tc>
      </w:tr>
      <w:tr w:rsidR="002A71EA" w:rsidRPr="002A71EA" w14:paraId="7DC44344" w14:textId="77777777" w:rsidTr="00214DAA">
        <w:tc>
          <w:tcPr>
            <w:tcW w:w="4232" w:type="dxa"/>
            <w:shd w:val="clear" w:color="auto" w:fill="auto"/>
          </w:tcPr>
          <w:p w14:paraId="47ECF262" w14:textId="77777777" w:rsidR="002A71EA" w:rsidRPr="002A71EA" w:rsidRDefault="002A71EA" w:rsidP="002A71E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78" w:type="dxa"/>
            <w:shd w:val="clear" w:color="auto" w:fill="auto"/>
          </w:tcPr>
          <w:p w14:paraId="681B637B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71EA" w:rsidRPr="002A71EA" w14:paraId="64FCD36E" w14:textId="77777777" w:rsidTr="00214DAA">
        <w:tc>
          <w:tcPr>
            <w:tcW w:w="4232" w:type="dxa"/>
            <w:shd w:val="clear" w:color="auto" w:fill="auto"/>
          </w:tcPr>
          <w:p w14:paraId="6D5582E2" w14:textId="77777777" w:rsidR="002A71EA" w:rsidRPr="002A71EA" w:rsidRDefault="002A71EA" w:rsidP="002A71E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78" w:type="dxa"/>
            <w:shd w:val="clear" w:color="auto" w:fill="auto"/>
          </w:tcPr>
          <w:p w14:paraId="048B099F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5248056A" w14:textId="77777777" w:rsidR="002A71EA" w:rsidRPr="002A71EA" w:rsidRDefault="002A71EA" w:rsidP="002A71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04A746" w14:textId="77777777" w:rsidR="002A71EA" w:rsidRPr="002A71EA" w:rsidRDefault="002A71EA" w:rsidP="002A71E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1EA">
        <w:rPr>
          <w:rFonts w:ascii="Times New Roman" w:eastAsia="Calibri" w:hAnsi="Times New Roman" w:cs="Times New Roman"/>
          <w:sz w:val="24"/>
          <w:szCs w:val="24"/>
        </w:rPr>
        <w:tab/>
      </w:r>
      <w:r w:rsidRPr="002A71E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D91F442" w14:textId="77777777" w:rsidR="002A71EA" w:rsidRPr="002A71EA" w:rsidRDefault="002A71EA" w:rsidP="002A71E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71EA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Failure to agree on how infrastructure costs in the agreed-upon budget are allocated among partners</w:t>
      </w:r>
    </w:p>
    <w:p w14:paraId="23545AED" w14:textId="77777777" w:rsidR="002A71EA" w:rsidRPr="002A71EA" w:rsidRDefault="002A71EA" w:rsidP="002A71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30EC7E" w14:textId="77777777" w:rsidR="002A71EA" w:rsidRPr="002A71EA" w:rsidRDefault="002A71EA" w:rsidP="002A71EA">
      <w:pPr>
        <w:spacing w:after="0" w:line="240" w:lineRule="auto"/>
        <w:ind w:left="1350" w:hanging="6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672760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71EA">
            <w:rPr>
              <w:rFonts w:ascii="Segoe UI Symbol" w:eastAsia="Calibri" w:hAnsi="Segoe UI Symbol" w:cs="Segoe UI Symbol"/>
              <w:b/>
              <w:sz w:val="24"/>
              <w:szCs w:val="24"/>
            </w:rPr>
            <w:t>☐</w:t>
          </w:r>
        </w:sdtContent>
      </w:sdt>
      <w:r w:rsidRPr="002A71EA">
        <w:rPr>
          <w:rFonts w:ascii="MS Gothic" w:eastAsia="MS Gothic" w:hAnsi="MS Gothic" w:cs="Times New Roman"/>
          <w:sz w:val="18"/>
          <w:szCs w:val="18"/>
        </w:rPr>
        <w:t xml:space="preserve">    </w:t>
      </w:r>
      <w:r w:rsidRPr="002A71EA">
        <w:rPr>
          <w:rFonts w:ascii="Times New Roman" w:eastAsia="Calibri" w:hAnsi="Times New Roman" w:cs="Times New Roman"/>
          <w:sz w:val="24"/>
          <w:szCs w:val="24"/>
        </w:rPr>
        <w:tab/>
        <w:t xml:space="preserve">The inability to reach agreement is because one or more partners does not agree with the infrastructure costs being allocated to them for a </w:t>
      </w:r>
      <w:proofErr w:type="gramStart"/>
      <w:r w:rsidRPr="002A71EA">
        <w:rPr>
          <w:rFonts w:ascii="Times New Roman" w:eastAsia="Calibri" w:hAnsi="Times New Roman" w:cs="Times New Roman"/>
          <w:sz w:val="24"/>
          <w:szCs w:val="24"/>
        </w:rPr>
        <w:t>particular service</w:t>
      </w:r>
      <w:proofErr w:type="gramEnd"/>
      <w:r w:rsidRPr="002A71EA">
        <w:rPr>
          <w:rFonts w:ascii="Times New Roman" w:eastAsia="Calibri" w:hAnsi="Times New Roman" w:cs="Times New Roman"/>
          <w:sz w:val="24"/>
          <w:szCs w:val="24"/>
        </w:rPr>
        <w:t xml:space="preserve"> location for the program year beginning July 1.  Listed below are the program partners that did not agree to their allocation of infrastructure costs, the applicable service location and a summary of the reasons for their inability to agree.</w:t>
      </w:r>
    </w:p>
    <w:p w14:paraId="4DED9908" w14:textId="77777777" w:rsidR="002A71EA" w:rsidRPr="002A71EA" w:rsidRDefault="002A71EA" w:rsidP="002A71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2"/>
        <w:gridCol w:w="4578"/>
      </w:tblGrid>
      <w:tr w:rsidR="002A71EA" w:rsidRPr="002A71EA" w14:paraId="00E45DFF" w14:textId="77777777" w:rsidTr="00214DAA">
        <w:trPr>
          <w:tblHeader/>
        </w:trPr>
        <w:tc>
          <w:tcPr>
            <w:tcW w:w="4232" w:type="dxa"/>
            <w:shd w:val="clear" w:color="auto" w:fill="auto"/>
          </w:tcPr>
          <w:p w14:paraId="2F149A1B" w14:textId="77777777" w:rsidR="002A71EA" w:rsidRPr="002A71EA" w:rsidRDefault="002A71EA" w:rsidP="002A7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 Partner Name</w:t>
            </w:r>
          </w:p>
        </w:tc>
        <w:tc>
          <w:tcPr>
            <w:tcW w:w="4578" w:type="dxa"/>
            <w:shd w:val="clear" w:color="auto" w:fill="auto"/>
          </w:tcPr>
          <w:p w14:paraId="4468BB40" w14:textId="77777777" w:rsidR="002A71EA" w:rsidRPr="002A71EA" w:rsidRDefault="002A71EA" w:rsidP="002A7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Reasons</w:t>
            </w:r>
          </w:p>
        </w:tc>
      </w:tr>
      <w:tr w:rsidR="002A71EA" w:rsidRPr="002A71EA" w14:paraId="305159D6" w14:textId="77777777" w:rsidTr="00214DAA">
        <w:tc>
          <w:tcPr>
            <w:tcW w:w="4232" w:type="dxa"/>
            <w:shd w:val="clear" w:color="auto" w:fill="auto"/>
          </w:tcPr>
          <w:p w14:paraId="53F6A7A6" w14:textId="77777777" w:rsidR="002A71EA" w:rsidRPr="002A71EA" w:rsidRDefault="002A71EA" w:rsidP="002A71E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78" w:type="dxa"/>
            <w:shd w:val="clear" w:color="auto" w:fill="auto"/>
          </w:tcPr>
          <w:p w14:paraId="388A64FF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71EA" w:rsidRPr="002A71EA" w14:paraId="127D0531" w14:textId="77777777" w:rsidTr="00214DAA">
        <w:tc>
          <w:tcPr>
            <w:tcW w:w="4232" w:type="dxa"/>
            <w:shd w:val="clear" w:color="auto" w:fill="auto"/>
          </w:tcPr>
          <w:p w14:paraId="3BF0405B" w14:textId="77777777" w:rsidR="002A71EA" w:rsidRPr="002A71EA" w:rsidRDefault="002A71EA" w:rsidP="002A71E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78" w:type="dxa"/>
            <w:shd w:val="clear" w:color="auto" w:fill="auto"/>
          </w:tcPr>
          <w:p w14:paraId="0AE1C631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71EA" w:rsidRPr="002A71EA" w14:paraId="2B48623A" w14:textId="77777777" w:rsidTr="00214DAA">
        <w:tc>
          <w:tcPr>
            <w:tcW w:w="4232" w:type="dxa"/>
            <w:shd w:val="clear" w:color="auto" w:fill="auto"/>
          </w:tcPr>
          <w:p w14:paraId="613CF5E6" w14:textId="77777777" w:rsidR="002A71EA" w:rsidRPr="002A71EA" w:rsidRDefault="002A71EA" w:rsidP="002A71E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578" w:type="dxa"/>
            <w:shd w:val="clear" w:color="auto" w:fill="auto"/>
          </w:tcPr>
          <w:p w14:paraId="7AB2753B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12ED2669" w14:textId="77777777" w:rsidR="002A71EA" w:rsidRPr="002A71EA" w:rsidRDefault="002A71EA" w:rsidP="002A71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E74DBB" w14:textId="77777777" w:rsidR="002A71EA" w:rsidRPr="002A71EA" w:rsidRDefault="002A71EA" w:rsidP="002A71EA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2A71EA">
        <w:rPr>
          <w:rFonts w:ascii="Times New Roman" w:eastAsia="Calibri" w:hAnsi="Times New Roman" w:cs="Times New Roman"/>
          <w:b/>
          <w:smallCaps/>
          <w:sz w:val="24"/>
          <w:szCs w:val="24"/>
        </w:rPr>
        <w:t>Waiver Requests</w:t>
      </w:r>
    </w:p>
    <w:p w14:paraId="7A9DD2A0" w14:textId="77777777" w:rsidR="002A71EA" w:rsidRPr="002A71EA" w:rsidRDefault="002A71EA" w:rsidP="002A71EA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14:paraId="13A64036" w14:textId="77777777" w:rsidR="002A71EA" w:rsidRPr="002A71EA" w:rsidRDefault="002A71EA" w:rsidP="002A71EA">
      <w:pPr>
        <w:spacing w:after="0" w:line="240" w:lineRule="auto"/>
        <w:ind w:left="1296" w:hanging="5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94553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71EA">
            <w:rPr>
              <w:rFonts w:ascii="Segoe UI Symbol" w:eastAsia="Calibri" w:hAnsi="Segoe UI Symbol" w:cs="Segoe UI Symbol"/>
              <w:b/>
              <w:sz w:val="24"/>
              <w:szCs w:val="24"/>
            </w:rPr>
            <w:t>☐</w:t>
          </w:r>
        </w:sdtContent>
      </w:sdt>
      <w:r w:rsidRPr="002A71EA">
        <w:rPr>
          <w:rFonts w:ascii="MS Gothic" w:eastAsia="MS Gothic" w:hAnsi="MS Gothic" w:cs="Times New Roman"/>
          <w:sz w:val="18"/>
          <w:szCs w:val="18"/>
        </w:rPr>
        <w:t xml:space="preserve">  </w:t>
      </w:r>
      <w:r w:rsidRPr="002A71EA">
        <w:rPr>
          <w:rFonts w:ascii="Times New Roman" w:eastAsia="MS Gothic" w:hAnsi="Times New Roman" w:cs="Times New Roman"/>
          <w:sz w:val="24"/>
          <w:szCs w:val="24"/>
        </w:rPr>
        <w:t>(If applicable) Described below is a request to be waived from specific provisions of the Governor’s Guidelines – Revision 4, as agreed upon by all required partners in the local area.</w:t>
      </w:r>
    </w:p>
    <w:p w14:paraId="6BFA034C" w14:textId="77777777" w:rsidR="002A71EA" w:rsidRPr="002A71EA" w:rsidRDefault="002A71EA" w:rsidP="002A71E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5D76D6" w14:textId="77777777" w:rsidR="002A71EA" w:rsidRPr="002A71EA" w:rsidRDefault="002A71EA" w:rsidP="002A71E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71EA">
        <w:rPr>
          <w:rFonts w:ascii="Times New Roman" w:eastAsia="Calibri" w:hAnsi="Times New Roman" w:cs="Times New Roman"/>
          <w:b/>
          <w:sz w:val="24"/>
          <w:szCs w:val="24"/>
        </w:rPr>
        <w:t xml:space="preserve">If applicable, please describe the waiver request(s) below, including: </w:t>
      </w:r>
    </w:p>
    <w:p w14:paraId="29A4F63D" w14:textId="77777777" w:rsidR="002A71EA" w:rsidRPr="002A71EA" w:rsidRDefault="002A71EA" w:rsidP="002A71E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1EA">
        <w:rPr>
          <w:rFonts w:ascii="Times New Roman" w:eastAsia="Calibri" w:hAnsi="Times New Roman" w:cs="Times New Roman"/>
          <w:sz w:val="24"/>
          <w:szCs w:val="24"/>
        </w:rPr>
        <w:t xml:space="preserve">The specific requirement (including relevant citations of the Governor’s Guidelines – Revision 4) the local area is requesting be waived for the current program year MOU and budget negotiations, and </w:t>
      </w:r>
    </w:p>
    <w:p w14:paraId="38875DCC" w14:textId="77777777" w:rsidR="002A71EA" w:rsidRPr="002A71EA" w:rsidRDefault="002A71EA" w:rsidP="002A71E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1EA">
        <w:rPr>
          <w:rFonts w:ascii="Times New Roman" w:eastAsia="Calibri" w:hAnsi="Times New Roman" w:cs="Times New Roman"/>
          <w:sz w:val="24"/>
          <w:szCs w:val="24"/>
        </w:rPr>
        <w:t>Rationale for the State not holding the local area responsible for compliance with the specific requirement as described in the Governor’s Guidelines – Revision 4.</w:t>
      </w:r>
    </w:p>
    <w:p w14:paraId="3C263A92" w14:textId="77777777" w:rsidR="002A71EA" w:rsidRPr="002A71EA" w:rsidRDefault="002A71EA" w:rsidP="002A71EA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71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88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4963"/>
      </w:tblGrid>
      <w:tr w:rsidR="002A71EA" w:rsidRPr="002A71EA" w14:paraId="01BD07F5" w14:textId="77777777" w:rsidTr="00214DAA">
        <w:trPr>
          <w:tblHeader/>
        </w:trPr>
        <w:tc>
          <w:tcPr>
            <w:tcW w:w="3847" w:type="dxa"/>
            <w:shd w:val="clear" w:color="auto" w:fill="auto"/>
          </w:tcPr>
          <w:p w14:paraId="21A1B640" w14:textId="77777777" w:rsidR="002A71EA" w:rsidRPr="002A71EA" w:rsidRDefault="002A71EA" w:rsidP="002A7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Requirement (including applicable citation(s) to specific provisions of the Governor’s Guidelines)</w:t>
            </w:r>
          </w:p>
        </w:tc>
        <w:tc>
          <w:tcPr>
            <w:tcW w:w="4963" w:type="dxa"/>
            <w:shd w:val="clear" w:color="auto" w:fill="auto"/>
          </w:tcPr>
          <w:p w14:paraId="53D98C77" w14:textId="77777777" w:rsidR="002A71EA" w:rsidRPr="002A71EA" w:rsidRDefault="002A71EA" w:rsidP="002A7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Rationale and Description </w:t>
            </w:r>
          </w:p>
          <w:p w14:paraId="5BEE9B8D" w14:textId="77777777" w:rsidR="002A71EA" w:rsidRPr="002A71EA" w:rsidRDefault="002A71EA" w:rsidP="002A7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of Negative Consequences or Impact </w:t>
            </w:r>
          </w:p>
          <w:p w14:paraId="6BD266C2" w14:textId="77777777" w:rsidR="002A71EA" w:rsidRPr="002A71EA" w:rsidRDefault="002A71EA" w:rsidP="002A7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 the Absence of a Waiver</w:t>
            </w:r>
          </w:p>
        </w:tc>
      </w:tr>
      <w:tr w:rsidR="002A71EA" w:rsidRPr="002A71EA" w14:paraId="65B7ECFA" w14:textId="77777777" w:rsidTr="00214DAA">
        <w:trPr>
          <w:trHeight w:val="1295"/>
        </w:trPr>
        <w:tc>
          <w:tcPr>
            <w:tcW w:w="3847" w:type="dxa"/>
            <w:shd w:val="clear" w:color="auto" w:fill="auto"/>
          </w:tcPr>
          <w:p w14:paraId="4BE6EFA3" w14:textId="77777777" w:rsidR="002A71EA" w:rsidRPr="002A71EA" w:rsidRDefault="002A71EA" w:rsidP="002A71E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963" w:type="dxa"/>
            <w:shd w:val="clear" w:color="auto" w:fill="auto"/>
          </w:tcPr>
          <w:p w14:paraId="75840B71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71EA" w:rsidRPr="002A71EA" w14:paraId="14F62B35" w14:textId="77777777" w:rsidTr="00214DAA">
        <w:trPr>
          <w:trHeight w:val="1340"/>
        </w:trPr>
        <w:tc>
          <w:tcPr>
            <w:tcW w:w="3847" w:type="dxa"/>
            <w:shd w:val="clear" w:color="auto" w:fill="auto"/>
          </w:tcPr>
          <w:p w14:paraId="5C0B27A2" w14:textId="77777777" w:rsidR="002A71EA" w:rsidRPr="002A71EA" w:rsidRDefault="002A71EA" w:rsidP="002A71E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963" w:type="dxa"/>
            <w:shd w:val="clear" w:color="auto" w:fill="auto"/>
          </w:tcPr>
          <w:p w14:paraId="32FC5283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A71EA" w:rsidRPr="002A71EA" w14:paraId="048EDFC9" w14:textId="77777777" w:rsidTr="00214DAA">
        <w:trPr>
          <w:trHeight w:val="1250"/>
        </w:trPr>
        <w:tc>
          <w:tcPr>
            <w:tcW w:w="3847" w:type="dxa"/>
            <w:shd w:val="clear" w:color="auto" w:fill="auto"/>
          </w:tcPr>
          <w:p w14:paraId="42E44BE6" w14:textId="77777777" w:rsidR="002A71EA" w:rsidRPr="002A71EA" w:rsidRDefault="002A71EA" w:rsidP="002A71E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963" w:type="dxa"/>
            <w:shd w:val="clear" w:color="auto" w:fill="auto"/>
          </w:tcPr>
          <w:p w14:paraId="4B408082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82BCC5A" w14:textId="77777777" w:rsidR="002A71EA" w:rsidRPr="002A71EA" w:rsidRDefault="002A71EA" w:rsidP="002A71E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4B8A96" w14:textId="77777777" w:rsidR="002A71EA" w:rsidRPr="002A71EA" w:rsidRDefault="002A71EA" w:rsidP="002A71E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1079EE" w14:textId="77777777" w:rsidR="002A71EA" w:rsidRPr="002A71EA" w:rsidRDefault="002A71EA" w:rsidP="002A71E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226658" w14:textId="77777777" w:rsidR="002A71EA" w:rsidRPr="002A71EA" w:rsidRDefault="002A71EA" w:rsidP="002A71E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BD115E" w14:textId="77777777" w:rsidR="002A71EA" w:rsidRPr="002A71EA" w:rsidRDefault="002A71EA" w:rsidP="002A71E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71EA">
        <w:rPr>
          <w:rFonts w:ascii="Times New Roman" w:eastAsia="Calibri" w:hAnsi="Times New Roman" w:cs="Times New Roman"/>
          <w:b/>
          <w:sz w:val="24"/>
          <w:szCs w:val="24"/>
        </w:rPr>
        <w:t>Signatures:</w:t>
      </w:r>
    </w:p>
    <w:p w14:paraId="294FFCFF" w14:textId="77777777" w:rsidR="002A71EA" w:rsidRPr="002A71EA" w:rsidRDefault="002A71EA" w:rsidP="002A71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1"/>
        <w:gridCol w:w="436"/>
        <w:gridCol w:w="4613"/>
      </w:tblGrid>
      <w:tr w:rsidR="002A71EA" w:rsidRPr="002A71EA" w14:paraId="5E44496D" w14:textId="77777777" w:rsidTr="00214DAA"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CA97ECD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27935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0AE1B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1EA" w:rsidRPr="002A71EA" w14:paraId="2D4F11D3" w14:textId="77777777" w:rsidTr="00214DAA">
        <w:tc>
          <w:tcPr>
            <w:tcW w:w="4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C1D21B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Chair, Local Workforce Innovation Board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64B26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DB5AA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1EA" w:rsidRPr="002A71EA" w14:paraId="44E8B71C" w14:textId="77777777" w:rsidTr="00214DAA">
        <w:trPr>
          <w:trHeight w:hRule="exact" w:val="504"/>
        </w:trPr>
        <w:tc>
          <w:tcPr>
            <w:tcW w:w="4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6BA80A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1A600D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39316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8E8DF5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1EA" w:rsidRPr="002A71EA" w14:paraId="7984ADF0" w14:textId="77777777" w:rsidTr="00214DAA">
        <w:tc>
          <w:tcPr>
            <w:tcW w:w="4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C59579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t>Chief Elected Official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416CD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EB9A20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t>Chief Elected Official</w:t>
            </w:r>
          </w:p>
        </w:tc>
      </w:tr>
      <w:tr w:rsidR="002A71EA" w:rsidRPr="002A71EA" w14:paraId="32EF0467" w14:textId="77777777" w:rsidTr="00214DAA">
        <w:trPr>
          <w:trHeight w:val="504"/>
        </w:trPr>
        <w:tc>
          <w:tcPr>
            <w:tcW w:w="4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11DB1A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0F6BA8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1E593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F0EE34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1EA" w:rsidRPr="002A71EA" w14:paraId="6EEFAA67" w14:textId="77777777" w:rsidTr="00214DAA">
        <w:tc>
          <w:tcPr>
            <w:tcW w:w="4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88B026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t>Chief Elected Official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A5549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067CD5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1EA">
              <w:rPr>
                <w:rFonts w:ascii="Times New Roman" w:eastAsia="Calibri" w:hAnsi="Times New Roman" w:cs="Times New Roman"/>
                <w:sz w:val="24"/>
                <w:szCs w:val="24"/>
              </w:rPr>
              <w:t>Chief Elected Official</w:t>
            </w:r>
          </w:p>
        </w:tc>
      </w:tr>
      <w:tr w:rsidR="002A71EA" w:rsidRPr="002A71EA" w14:paraId="48DABC26" w14:textId="77777777" w:rsidTr="00214DAA">
        <w:trPr>
          <w:trHeight w:hRule="exact" w:val="504"/>
        </w:trPr>
        <w:tc>
          <w:tcPr>
            <w:tcW w:w="4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692601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3E67C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0DC8BC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1EA" w:rsidRPr="002A71EA" w14:paraId="0C49E047" w14:textId="77777777" w:rsidTr="00214DAA">
        <w:trPr>
          <w:trHeight w:val="269"/>
        </w:trPr>
        <w:tc>
          <w:tcPr>
            <w:tcW w:w="4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70CE35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376E9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159034" w14:textId="77777777" w:rsidR="002A71EA" w:rsidRPr="002A71EA" w:rsidRDefault="002A71EA" w:rsidP="002A7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2DBEEA" w14:textId="77777777" w:rsidR="002A71EA" w:rsidRPr="002A71EA" w:rsidRDefault="002A71EA" w:rsidP="002A71EA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4"/>
        </w:rPr>
      </w:pPr>
    </w:p>
    <w:p w14:paraId="3B01D68C" w14:textId="77777777" w:rsidR="002A71EA" w:rsidRPr="002A71EA" w:rsidRDefault="002A71EA" w:rsidP="002A71EA">
      <w:pPr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4"/>
        </w:rPr>
      </w:pPr>
      <w:r w:rsidRPr="002A71EA">
        <w:rPr>
          <w:rFonts w:ascii="Times New Roman" w:eastAsia="Calibri" w:hAnsi="Times New Roman" w:cs="Times New Roman"/>
          <w:sz w:val="2"/>
          <w:szCs w:val="24"/>
        </w:rPr>
        <w:t>Ff</w:t>
      </w:r>
    </w:p>
    <w:p w14:paraId="509093E6" w14:textId="77777777" w:rsidR="002A71EA" w:rsidRPr="002A71EA" w:rsidRDefault="002A71EA" w:rsidP="002A71EA">
      <w:pPr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4"/>
        </w:rPr>
      </w:pPr>
    </w:p>
    <w:p w14:paraId="5586ACA1" w14:textId="77777777" w:rsidR="002A71EA" w:rsidRPr="002A71EA" w:rsidRDefault="002A71EA" w:rsidP="002A71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9980AB" w14:textId="77777777" w:rsidR="002A71EA" w:rsidRPr="002A71EA" w:rsidRDefault="002A71EA" w:rsidP="002A71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E9F457" w14:textId="77777777" w:rsidR="002A71EA" w:rsidRPr="002A71EA" w:rsidRDefault="002A71EA" w:rsidP="002A71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1EA">
        <w:rPr>
          <w:rFonts w:ascii="Times New Roman" w:eastAsia="Calibri" w:hAnsi="Times New Roman" w:cs="Times New Roman"/>
          <w:sz w:val="24"/>
          <w:szCs w:val="24"/>
        </w:rPr>
        <w:t xml:space="preserve">A completed and signed copy of this </w:t>
      </w:r>
      <w:r w:rsidRPr="002A71EA">
        <w:rPr>
          <w:rFonts w:ascii="Times New Roman" w:eastAsia="Calibri" w:hAnsi="Times New Roman" w:cs="Times New Roman"/>
          <w:smallCaps/>
          <w:sz w:val="24"/>
          <w:szCs w:val="24"/>
        </w:rPr>
        <w:t>Report of Outcomes for PY ___</w:t>
      </w:r>
      <w:r w:rsidRPr="002A71EA">
        <w:rPr>
          <w:rFonts w:ascii="Times New Roman" w:eastAsia="Calibri" w:hAnsi="Times New Roman" w:cs="Times New Roman"/>
          <w:sz w:val="24"/>
          <w:szCs w:val="24"/>
        </w:rPr>
        <w:t xml:space="preserve"> and a draft one-stop operating budget must be submitted by April 15 to:</w:t>
      </w:r>
    </w:p>
    <w:p w14:paraId="734F8DBC" w14:textId="77777777" w:rsidR="002A71EA" w:rsidRPr="002A71EA" w:rsidRDefault="002A71EA" w:rsidP="002A71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FD6739" w14:textId="77777777" w:rsidR="002A71EA" w:rsidRPr="002A71EA" w:rsidRDefault="002A71EA" w:rsidP="002A71E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1EA">
        <w:rPr>
          <w:rFonts w:ascii="Times New Roman" w:eastAsia="Calibri" w:hAnsi="Times New Roman" w:cs="Times New Roman"/>
          <w:sz w:val="24"/>
          <w:szCs w:val="24"/>
        </w:rPr>
        <w:t>Michael Baker</w:t>
      </w:r>
    </w:p>
    <w:p w14:paraId="0D6DCE5A" w14:textId="77777777" w:rsidR="002A71EA" w:rsidRPr="002A71EA" w:rsidRDefault="002A71EA" w:rsidP="002A71E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1EA">
        <w:rPr>
          <w:rFonts w:ascii="Times New Roman" w:eastAsia="Calibri" w:hAnsi="Times New Roman" w:cs="Times New Roman"/>
          <w:sz w:val="24"/>
          <w:szCs w:val="24"/>
        </w:rPr>
        <w:t xml:space="preserve">Manager – Strategic Planning &amp; Innovation </w:t>
      </w:r>
    </w:p>
    <w:p w14:paraId="4892019A" w14:textId="77777777" w:rsidR="002A71EA" w:rsidRPr="002A71EA" w:rsidRDefault="002A71EA" w:rsidP="002A71E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1EA">
        <w:rPr>
          <w:rFonts w:ascii="Times New Roman" w:eastAsia="Calibri" w:hAnsi="Times New Roman" w:cs="Times New Roman"/>
          <w:sz w:val="24"/>
          <w:szCs w:val="24"/>
        </w:rPr>
        <w:t>Office of Employment &amp; Training</w:t>
      </w:r>
    </w:p>
    <w:p w14:paraId="24543F8C" w14:textId="77777777" w:rsidR="002A71EA" w:rsidRPr="002A71EA" w:rsidRDefault="002A71EA" w:rsidP="002A71E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1EA">
        <w:rPr>
          <w:rFonts w:ascii="Times New Roman" w:eastAsia="Calibri" w:hAnsi="Times New Roman" w:cs="Times New Roman"/>
          <w:sz w:val="24"/>
          <w:szCs w:val="24"/>
        </w:rPr>
        <w:t>Illinois Department of Commerce and Economic Opportunity</w:t>
      </w:r>
    </w:p>
    <w:p w14:paraId="4F16A617" w14:textId="77777777" w:rsidR="002A71EA" w:rsidRPr="002A71EA" w:rsidRDefault="002A71EA" w:rsidP="002A71E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2A71E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wioaplans-mous@illinoisworknet.com</w:t>
        </w:r>
      </w:hyperlink>
      <w:r w:rsidRPr="002A71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EE9E18" w14:textId="77777777" w:rsidR="002A71EA" w:rsidRPr="002A71EA" w:rsidRDefault="002A71EA" w:rsidP="002A71EA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1EA">
        <w:rPr>
          <w:rFonts w:ascii="Times New Roman" w:eastAsia="Calibri" w:hAnsi="Times New Roman" w:cs="Times New Roman"/>
          <w:sz w:val="24"/>
          <w:szCs w:val="24"/>
        </w:rPr>
        <w:t>O: 217-558-6423</w:t>
      </w:r>
    </w:p>
    <w:p w14:paraId="0733BB1D" w14:textId="77777777" w:rsidR="002A71EA" w:rsidRPr="002A71EA" w:rsidRDefault="002A71EA" w:rsidP="002A7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14:paraId="669E0A72" w14:textId="77777777" w:rsidR="002A71EA" w:rsidRPr="002A71EA" w:rsidRDefault="002A71EA" w:rsidP="002A71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03991F" w14:textId="77777777" w:rsidR="002A71EA" w:rsidRPr="002A71EA" w:rsidRDefault="002A71EA" w:rsidP="002A71EA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BD6D1A" w14:textId="77777777" w:rsidR="00242018" w:rsidRDefault="00242018">
      <w:bookmarkStart w:id="5" w:name="_GoBack"/>
      <w:bookmarkEnd w:id="5"/>
    </w:p>
    <w:sectPr w:rsidR="00242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16037"/>
    <w:multiLevelType w:val="hybridMultilevel"/>
    <w:tmpl w:val="2424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B3691"/>
    <w:multiLevelType w:val="hybridMultilevel"/>
    <w:tmpl w:val="47C82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80750"/>
    <w:multiLevelType w:val="hybridMultilevel"/>
    <w:tmpl w:val="6B724B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E64AF4"/>
    <w:multiLevelType w:val="hybridMultilevel"/>
    <w:tmpl w:val="6B724B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A312F4"/>
    <w:multiLevelType w:val="hybridMultilevel"/>
    <w:tmpl w:val="6B724B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EA"/>
    <w:rsid w:val="00242018"/>
    <w:rsid w:val="002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9E56"/>
  <w15:chartTrackingRefBased/>
  <w15:docId w15:val="{91DA76AF-FF7F-4468-A8EB-14A82395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mailto:wioaplans-mous@illinoisworknet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70BCB3757F4CF3A1225238E5FAF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7BBBC-F492-4E07-93E2-8416928B218F}"/>
      </w:docPartPr>
      <w:docPartBody>
        <w:p w:rsidR="00000000" w:rsidRDefault="00C1708E" w:rsidP="00C1708E">
          <w:pPr>
            <w:pStyle w:val="0870BCB3757F4CF3A1225238E5FAFA21"/>
          </w:pPr>
          <w:r w:rsidRPr="000660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8E"/>
    <w:rsid w:val="00C1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08E"/>
    <w:rPr>
      <w:color w:val="808080"/>
    </w:rPr>
  </w:style>
  <w:style w:type="paragraph" w:customStyle="1" w:styleId="0870BCB3757F4CF3A1225238E5FAFA21">
    <w:name w:val="0870BCB3757F4CF3A1225238E5FAFA21"/>
    <w:rsid w:val="00C17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21</MainCategory>
    <Site xmlns="9352c220-c5aa-4176-b310-478a54cdcce0">
      <Value>4</Value>
    </Site>
    <SubCategory xmlns="9352c220-c5aa-4176-b310-478a54cdcce0">79</SubCategory>
    <SkillLevel xmlns="9352c220-c5aa-4176-b310-478a54cdcce0">
      <Value>Technical skill level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Informational</Value>
    </DocumentType>
    <TaxCatchAll xmlns="6e83a1a5-9dab-4521-85db-ea3c8196acb3"/>
    <Description0 xmlns="9352c220-c5aa-4176-b310-478a54cdcce0">Appendix G - Report of Outcomes - Updated Nov 2019</Description0>
    <GradeLevel xmlns="9352c220-c5aa-4176-b310-478a54cdcce0">
      <Value>&gt;12 Postsecondary</Value>
    </GradeLevel>
  </documentManagement>
</p:properties>
</file>

<file path=customXml/itemProps1.xml><?xml version="1.0" encoding="utf-8"?>
<ds:datastoreItem xmlns:ds="http://schemas.openxmlformats.org/officeDocument/2006/customXml" ds:itemID="{B72AB58D-96A5-428E-97C2-E2EADC961A65}"/>
</file>

<file path=customXml/itemProps2.xml><?xml version="1.0" encoding="utf-8"?>
<ds:datastoreItem xmlns:ds="http://schemas.openxmlformats.org/officeDocument/2006/customXml" ds:itemID="{156044FD-3CF9-4AA1-8799-1E0E1FA74DEA}"/>
</file>

<file path=customXml/itemProps3.xml><?xml version="1.0" encoding="utf-8"?>
<ds:datastoreItem xmlns:ds="http://schemas.openxmlformats.org/officeDocument/2006/customXml" ds:itemID="{4C85F062-43F7-4CC6-9C38-056829F096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 - Report of Outcomes - Updated Nov 2019</dc:title>
  <dc:subject/>
  <dc:creator>Sweatman, Cameron</dc:creator>
  <cp:keywords/>
  <dc:description/>
  <cp:lastModifiedBy>Sweatman, Cameron</cp:lastModifiedBy>
  <cp:revision>1</cp:revision>
  <dcterms:created xsi:type="dcterms:W3CDTF">2019-11-19T19:48:00Z</dcterms:created>
  <dcterms:modified xsi:type="dcterms:W3CDTF">2019-11-19T19:48:00Z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